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9FB2E" w14:textId="136407C1" w:rsidR="00F0166B" w:rsidRPr="006843D1" w:rsidRDefault="00F0166B" w:rsidP="006843D1">
      <w:pPr>
        <w:rPr>
          <w:sz w:val="32"/>
        </w:rPr>
      </w:pPr>
      <w:r w:rsidRPr="006843D1">
        <w:rPr>
          <w:b/>
          <w:sz w:val="32"/>
        </w:rPr>
        <w:t>Complaints Policy</w:t>
      </w:r>
    </w:p>
    <w:p w14:paraId="0FB7BD2D" w14:textId="77777777" w:rsidR="00F0166B" w:rsidRDefault="00F0166B" w:rsidP="00F0166B"/>
    <w:p w14:paraId="124126AF" w14:textId="77777777" w:rsidR="00F0166B" w:rsidRPr="00B246FF" w:rsidRDefault="00F0166B" w:rsidP="006843D1">
      <w:pPr>
        <w:pStyle w:val="Level1"/>
      </w:pPr>
      <w:r w:rsidRPr="00B246FF">
        <w:t>Introduction</w:t>
      </w:r>
    </w:p>
    <w:p w14:paraId="6C450B8E" w14:textId="00253EBF" w:rsidR="00F0166B" w:rsidRPr="00B246FF" w:rsidRDefault="00F0166B" w:rsidP="006843D1">
      <w:pPr>
        <w:pStyle w:val="level2list"/>
      </w:pPr>
      <w:r w:rsidRPr="00B246FF">
        <w:t>Ealing Community Transport (“</w:t>
      </w:r>
      <w:r w:rsidRPr="00B246FF">
        <w:rPr>
          <w:b/>
          <w:bCs w:val="0"/>
        </w:rPr>
        <w:t>ECT</w:t>
      </w:r>
      <w:r w:rsidRPr="00B246FF">
        <w:t xml:space="preserve">”) welcomes and encourages customers’ </w:t>
      </w:r>
      <w:r w:rsidRPr="006843D1">
        <w:t>comments</w:t>
      </w:r>
      <w:r w:rsidRPr="00B246FF">
        <w:t xml:space="preserve">, </w:t>
      </w:r>
      <w:r w:rsidRPr="006843D1">
        <w:t>suggestions</w:t>
      </w:r>
      <w:r w:rsidRPr="00B246FF">
        <w:t xml:space="preserve"> and </w:t>
      </w:r>
      <w:r w:rsidRPr="006843D1">
        <w:t>feedback</w:t>
      </w:r>
      <w:r w:rsidRPr="00B246FF">
        <w:t xml:space="preserve"> so that every effort can be made to improve the service.</w:t>
      </w:r>
    </w:p>
    <w:p w14:paraId="49509CF6" w14:textId="77777777" w:rsidR="00F0166B" w:rsidRPr="00F0166B" w:rsidRDefault="00F0166B" w:rsidP="006843D1">
      <w:pPr>
        <w:pStyle w:val="level2list"/>
      </w:pPr>
      <w:r w:rsidRPr="00F0166B">
        <w:t xml:space="preserve">Whilst ECT aims to deliver a </w:t>
      </w:r>
      <w:r w:rsidRPr="006843D1">
        <w:t>customer-focussed service</w:t>
      </w:r>
      <w:r w:rsidRPr="00F0166B">
        <w:t>, there may be occasions where ECT has not meet customers’ expectations. As such, customers may wish to complain about a service they have received.</w:t>
      </w:r>
    </w:p>
    <w:p w14:paraId="458480D4" w14:textId="0F304195" w:rsidR="00F0166B" w:rsidRPr="00F0166B" w:rsidRDefault="00F0166B" w:rsidP="006843D1">
      <w:pPr>
        <w:pStyle w:val="level2list"/>
      </w:pPr>
      <w:r w:rsidRPr="00F0166B">
        <w:t>For the purposes of this policy:</w:t>
      </w:r>
    </w:p>
    <w:p w14:paraId="074F21DB" w14:textId="7256B372" w:rsidR="00F0166B" w:rsidRPr="00F0166B" w:rsidRDefault="00F0166B" w:rsidP="006843D1">
      <w:pPr>
        <w:pStyle w:val="level2list"/>
        <w:numPr>
          <w:ilvl w:val="3"/>
          <w:numId w:val="10"/>
        </w:numPr>
      </w:pPr>
      <w:r w:rsidRPr="00F0166B">
        <w:t>a “</w:t>
      </w:r>
      <w:r w:rsidRPr="006843D1">
        <w:t>complaint</w:t>
      </w:r>
      <w:r w:rsidRPr="00F0166B">
        <w:t>” is considered to be any expression of dissatisfaction, whether justified or not, about any aspect of ECT; and</w:t>
      </w:r>
    </w:p>
    <w:p w14:paraId="01D28410" w14:textId="221C1016" w:rsidR="00F0166B" w:rsidRPr="00F0166B" w:rsidRDefault="00F0166B" w:rsidP="006843D1">
      <w:pPr>
        <w:pStyle w:val="level2list"/>
        <w:numPr>
          <w:ilvl w:val="3"/>
          <w:numId w:val="10"/>
        </w:numPr>
      </w:pPr>
      <w:r w:rsidRPr="00F0166B">
        <w:t>“</w:t>
      </w:r>
      <w:r w:rsidRPr="006843D1">
        <w:t>customers</w:t>
      </w:r>
      <w:r w:rsidRPr="00F0166B">
        <w:t xml:space="preserve">” include clients, passengers or a </w:t>
      </w:r>
      <w:r w:rsidR="005C2A18">
        <w:t xml:space="preserve">member of the public </w:t>
      </w:r>
      <w:r w:rsidRPr="00F0166B">
        <w:t>who legitimately represents someone who uses or wishes to use or is affected by the services provided.</w:t>
      </w:r>
    </w:p>
    <w:p w14:paraId="04210174" w14:textId="77777777" w:rsidR="00F0166B" w:rsidRPr="00F0166B" w:rsidRDefault="00F0166B" w:rsidP="006843D1">
      <w:pPr>
        <w:pStyle w:val="level2list"/>
      </w:pPr>
      <w:r w:rsidRPr="00F0166B">
        <w:t xml:space="preserve">All </w:t>
      </w:r>
      <w:r w:rsidRPr="006843D1">
        <w:t>confidential information will be handled sensitively</w:t>
      </w:r>
      <w:r w:rsidRPr="00F0166B">
        <w:t xml:space="preserve"> and in line with all relevant data protection legislation and ECT’s Data Protection &amp; Confidentiality Policy.</w:t>
      </w:r>
    </w:p>
    <w:p w14:paraId="47585A3E" w14:textId="6C08EA13" w:rsidR="00F0166B" w:rsidRDefault="00F0166B" w:rsidP="006843D1">
      <w:pPr>
        <w:pStyle w:val="level2list"/>
      </w:pPr>
      <w:r w:rsidRPr="00F0166B">
        <w:t>This policy is available to all customers and overall responsibility for its implementation lies with ECT’s Board of Trustees.</w:t>
      </w:r>
    </w:p>
    <w:p w14:paraId="6E26772C" w14:textId="03B6556E" w:rsidR="00565E46" w:rsidRDefault="00565E46" w:rsidP="00565E46">
      <w:pPr>
        <w:pStyle w:val="level2list"/>
      </w:pPr>
      <w:r>
        <w:t>This policy should be read in conjunction with all of ECT’s policies, procedures, guidance and other related documents</w:t>
      </w:r>
    </w:p>
    <w:p w14:paraId="238AEA53" w14:textId="299FEA3B" w:rsidR="00F0166B" w:rsidRDefault="00F0166B" w:rsidP="006843D1">
      <w:pPr>
        <w:pStyle w:val="Level1"/>
      </w:pPr>
      <w:bookmarkStart w:id="0" w:name="_Ref23952042"/>
      <w:r>
        <w:t>How to make a complaint</w:t>
      </w:r>
      <w:bookmarkEnd w:id="0"/>
    </w:p>
    <w:p w14:paraId="234C3C7C" w14:textId="77777777" w:rsidR="00F0166B" w:rsidRPr="00F0166B" w:rsidRDefault="00F0166B" w:rsidP="006843D1">
      <w:pPr>
        <w:pStyle w:val="level2list"/>
      </w:pPr>
      <w:r w:rsidRPr="00F0166B">
        <w:t>Customers wishing to make a complaint should raise their concern in the first instance as follows:</w:t>
      </w:r>
    </w:p>
    <w:p w14:paraId="3EB91BB7" w14:textId="2118D539" w:rsidR="00F0166B" w:rsidRPr="00F0166B" w:rsidRDefault="00F0166B" w:rsidP="006843D1">
      <w:pPr>
        <w:pStyle w:val="level2list"/>
        <w:numPr>
          <w:ilvl w:val="3"/>
          <w:numId w:val="10"/>
        </w:numPr>
      </w:pPr>
      <w:r w:rsidRPr="00F0166B">
        <w:t>speak to a driver or passenger assistant;</w:t>
      </w:r>
    </w:p>
    <w:p w14:paraId="5E691DEF" w14:textId="5563A3E2" w:rsidR="00F0166B" w:rsidRPr="00F0166B" w:rsidRDefault="00F0166B" w:rsidP="006843D1">
      <w:pPr>
        <w:pStyle w:val="level2list"/>
        <w:numPr>
          <w:ilvl w:val="3"/>
          <w:numId w:val="10"/>
        </w:numPr>
      </w:pPr>
      <w:r w:rsidRPr="00F0166B">
        <w:t>speak to a manager by telephone or by visiting the office;</w:t>
      </w:r>
    </w:p>
    <w:p w14:paraId="16E365B0" w14:textId="0EC43326" w:rsidR="00F0166B" w:rsidRPr="00F0166B" w:rsidRDefault="00F0166B" w:rsidP="0084608C">
      <w:pPr>
        <w:pStyle w:val="level2list"/>
        <w:numPr>
          <w:ilvl w:val="3"/>
          <w:numId w:val="10"/>
        </w:numPr>
      </w:pPr>
      <w:r w:rsidRPr="00F0166B">
        <w:t>write via email, letter or the contact form on ECT’s website</w:t>
      </w:r>
      <w:r w:rsidR="008768AA">
        <w:t>.</w:t>
      </w:r>
    </w:p>
    <w:tbl>
      <w:tblPr>
        <w:tblW w:w="0" w:type="dxa"/>
        <w:tblInd w:w="6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20"/>
      </w:tblGrid>
      <w:tr w:rsidR="00B246FF" w:rsidRPr="00B246FF" w14:paraId="0776EB5E" w14:textId="77777777" w:rsidTr="006843D1">
        <w:tc>
          <w:tcPr>
            <w:tcW w:w="8775" w:type="dxa"/>
            <w:tcBorders>
              <w:top w:val="single" w:sz="6" w:space="0" w:color="auto"/>
              <w:left w:val="single" w:sz="6" w:space="0" w:color="auto"/>
              <w:bottom w:val="single" w:sz="6" w:space="0" w:color="auto"/>
              <w:right w:val="single" w:sz="6" w:space="0" w:color="auto"/>
            </w:tcBorders>
            <w:shd w:val="clear" w:color="auto" w:fill="auto"/>
            <w:hideMark/>
          </w:tcPr>
          <w:p w14:paraId="7DEB8C98" w14:textId="77777777" w:rsidR="00B246FF" w:rsidRPr="006843D1" w:rsidRDefault="00B246FF" w:rsidP="00854A6E">
            <w:pPr>
              <w:ind w:left="150"/>
              <w:jc w:val="both"/>
              <w:textAlignment w:val="baseline"/>
              <w:rPr>
                <w:rFonts w:ascii="Segoe UI" w:hAnsi="Segoe UI"/>
                <w:sz w:val="18"/>
              </w:rPr>
            </w:pPr>
            <w:r w:rsidRPr="006843D1">
              <w:rPr>
                <w:rFonts w:ascii="Calibri" w:hAnsi="Calibri"/>
                <w:b/>
                <w:sz w:val="22"/>
              </w:rPr>
              <w:t>ECT in Cheshire</w:t>
            </w:r>
            <w:r w:rsidRPr="00B246FF">
              <w:rPr>
                <w:rFonts w:ascii="Calibri" w:eastAsia="Times New Roman" w:hAnsi="Calibri" w:cs="Calibri"/>
                <w:sz w:val="22"/>
                <w:szCs w:val="22"/>
                <w:lang w:eastAsia="en-GB"/>
              </w:rPr>
              <w:t> </w:t>
            </w:r>
          </w:p>
          <w:p w14:paraId="507D8D04" w14:textId="77777777" w:rsidR="00B246FF" w:rsidRPr="006843D1" w:rsidRDefault="00B246FF" w:rsidP="00854A6E">
            <w:pPr>
              <w:ind w:left="150"/>
              <w:jc w:val="both"/>
              <w:textAlignment w:val="baseline"/>
              <w:rPr>
                <w:rFonts w:ascii="Segoe UI" w:hAnsi="Segoe UI"/>
                <w:sz w:val="18"/>
              </w:rPr>
            </w:pPr>
            <w:r w:rsidRPr="006843D1">
              <w:rPr>
                <w:rFonts w:ascii="Calibri" w:hAnsi="Calibri"/>
                <w:sz w:val="22"/>
              </w:rPr>
              <w:t xml:space="preserve">Junction 8 Business Park, Unit 5a, </w:t>
            </w:r>
            <w:proofErr w:type="spellStart"/>
            <w:r w:rsidRPr="006843D1">
              <w:rPr>
                <w:rFonts w:ascii="Calibri" w:hAnsi="Calibri"/>
                <w:sz w:val="22"/>
              </w:rPr>
              <w:t>Rossfield</w:t>
            </w:r>
            <w:proofErr w:type="spellEnd"/>
            <w:r w:rsidRPr="006843D1">
              <w:rPr>
                <w:rFonts w:ascii="Calibri" w:hAnsi="Calibri"/>
                <w:sz w:val="22"/>
              </w:rPr>
              <w:t xml:space="preserve"> Road, Ellesmere Port, Cheshire CH65 3AS</w:t>
            </w:r>
            <w:r w:rsidRPr="00B246FF">
              <w:rPr>
                <w:rFonts w:ascii="Calibri" w:eastAsia="Times New Roman" w:hAnsi="Calibri" w:cs="Calibri"/>
                <w:sz w:val="22"/>
                <w:szCs w:val="22"/>
                <w:lang w:eastAsia="en-GB"/>
              </w:rPr>
              <w:t> </w:t>
            </w:r>
          </w:p>
          <w:p w14:paraId="7B97BE92" w14:textId="15F98D5E" w:rsidR="00B246FF" w:rsidRPr="006843D1" w:rsidRDefault="00B246FF" w:rsidP="00854A6E">
            <w:pPr>
              <w:ind w:left="150"/>
              <w:jc w:val="both"/>
              <w:textAlignment w:val="baseline"/>
              <w:rPr>
                <w:rFonts w:ascii="Segoe UI" w:hAnsi="Segoe UI"/>
                <w:sz w:val="18"/>
              </w:rPr>
            </w:pPr>
            <w:hyperlink r:id="rId12" w:tgtFrame="_blank" w:history="1">
              <w:r w:rsidRPr="00B246FF">
                <w:rPr>
                  <w:rFonts w:ascii="Calibri" w:eastAsia="Times New Roman" w:hAnsi="Calibri" w:cs="Calibri"/>
                  <w:color w:val="0000FF"/>
                  <w:sz w:val="22"/>
                  <w:szCs w:val="22"/>
                  <w:lang w:eastAsia="en-GB"/>
                </w:rPr>
                <w:t>cheshire@ectcharity.co.uk</w:t>
              </w:r>
            </w:hyperlink>
            <w:r w:rsidRPr="006843D1">
              <w:rPr>
                <w:rFonts w:ascii="Calibri" w:hAnsi="Calibri"/>
                <w:sz w:val="22"/>
              </w:rPr>
              <w:t xml:space="preserve"> // 0151 357 4420</w:t>
            </w:r>
            <w:r w:rsidRPr="00B246FF">
              <w:rPr>
                <w:rFonts w:ascii="Calibri" w:eastAsia="Times New Roman" w:hAnsi="Calibri" w:cs="Calibri"/>
                <w:sz w:val="22"/>
                <w:szCs w:val="22"/>
                <w:lang w:eastAsia="en-GB"/>
              </w:rPr>
              <w:t> </w:t>
            </w:r>
          </w:p>
        </w:tc>
      </w:tr>
      <w:tr w:rsidR="00B246FF" w:rsidRPr="00B246FF" w14:paraId="595DAFC1" w14:textId="77777777" w:rsidTr="006843D1">
        <w:tc>
          <w:tcPr>
            <w:tcW w:w="8775" w:type="dxa"/>
            <w:tcBorders>
              <w:top w:val="single" w:sz="6" w:space="0" w:color="auto"/>
              <w:left w:val="single" w:sz="6" w:space="0" w:color="auto"/>
              <w:bottom w:val="single" w:sz="6" w:space="0" w:color="auto"/>
              <w:right w:val="single" w:sz="6" w:space="0" w:color="auto"/>
            </w:tcBorders>
            <w:shd w:val="clear" w:color="auto" w:fill="auto"/>
            <w:hideMark/>
          </w:tcPr>
          <w:p w14:paraId="7830203B" w14:textId="77777777" w:rsidR="00B246FF" w:rsidRPr="006843D1" w:rsidRDefault="00B246FF" w:rsidP="00854A6E">
            <w:pPr>
              <w:ind w:left="150"/>
              <w:jc w:val="both"/>
              <w:textAlignment w:val="baseline"/>
              <w:rPr>
                <w:rFonts w:ascii="Segoe UI" w:hAnsi="Segoe UI"/>
                <w:sz w:val="18"/>
              </w:rPr>
            </w:pPr>
            <w:r w:rsidRPr="006843D1">
              <w:rPr>
                <w:rFonts w:ascii="Calibri" w:hAnsi="Calibri"/>
                <w:b/>
                <w:sz w:val="22"/>
              </w:rPr>
              <w:t>Dorset Community Transport</w:t>
            </w:r>
            <w:r w:rsidRPr="00B246FF">
              <w:rPr>
                <w:rFonts w:ascii="Calibri" w:eastAsia="Times New Roman" w:hAnsi="Calibri" w:cs="Calibri"/>
                <w:sz w:val="22"/>
                <w:szCs w:val="22"/>
                <w:lang w:eastAsia="en-GB"/>
              </w:rPr>
              <w:t> </w:t>
            </w:r>
          </w:p>
          <w:p w14:paraId="69516247" w14:textId="77777777" w:rsidR="00B246FF" w:rsidRPr="006843D1" w:rsidRDefault="00B246FF" w:rsidP="00854A6E">
            <w:pPr>
              <w:ind w:left="150"/>
              <w:jc w:val="both"/>
              <w:textAlignment w:val="baseline"/>
              <w:rPr>
                <w:rFonts w:ascii="Segoe UI" w:hAnsi="Segoe UI"/>
                <w:sz w:val="18"/>
              </w:rPr>
            </w:pPr>
            <w:r w:rsidRPr="006843D1">
              <w:rPr>
                <w:rFonts w:ascii="Calibri" w:hAnsi="Calibri"/>
                <w:sz w:val="22"/>
              </w:rPr>
              <w:t>25e Sunrise Business Park, Higher Shaftesbury Road, Blandford Forum, Dorset DT11 8ST</w:t>
            </w:r>
            <w:r w:rsidRPr="00B246FF">
              <w:rPr>
                <w:rFonts w:ascii="Calibri" w:eastAsia="Times New Roman" w:hAnsi="Calibri" w:cs="Calibri"/>
                <w:sz w:val="22"/>
                <w:szCs w:val="22"/>
                <w:lang w:eastAsia="en-GB"/>
              </w:rPr>
              <w:t> </w:t>
            </w:r>
          </w:p>
          <w:p w14:paraId="72343EE4" w14:textId="09F49D0E" w:rsidR="00B246FF" w:rsidRPr="006843D1" w:rsidRDefault="00B246FF" w:rsidP="00854A6E">
            <w:pPr>
              <w:ind w:left="150"/>
              <w:jc w:val="both"/>
              <w:textAlignment w:val="baseline"/>
              <w:rPr>
                <w:rFonts w:ascii="Segoe UI" w:hAnsi="Segoe UI"/>
                <w:sz w:val="18"/>
              </w:rPr>
            </w:pPr>
            <w:hyperlink r:id="rId13" w:tgtFrame="_blank" w:history="1">
              <w:r w:rsidRPr="00B246FF">
                <w:rPr>
                  <w:rFonts w:ascii="Calibri" w:eastAsia="Times New Roman" w:hAnsi="Calibri" w:cs="Calibri"/>
                  <w:color w:val="0000FF"/>
                  <w:sz w:val="22"/>
                  <w:szCs w:val="22"/>
                  <w:lang w:eastAsia="en-GB"/>
                </w:rPr>
                <w:t>dorset@ectcharity.co.uk</w:t>
              </w:r>
            </w:hyperlink>
            <w:r w:rsidRPr="006843D1">
              <w:rPr>
                <w:rFonts w:ascii="Calibri" w:hAnsi="Calibri"/>
                <w:sz w:val="22"/>
              </w:rPr>
              <w:t>//</w:t>
            </w:r>
            <w:r w:rsidRPr="00B246FF">
              <w:rPr>
                <w:rFonts w:ascii="Calibri" w:eastAsia="Times New Roman" w:hAnsi="Calibri" w:cs="Calibri"/>
                <w:sz w:val="22"/>
                <w:szCs w:val="22"/>
                <w:lang w:eastAsia="en-GB"/>
              </w:rPr>
              <w:t> </w:t>
            </w:r>
            <w:r w:rsidRPr="006843D1">
              <w:rPr>
                <w:rFonts w:ascii="Calibri" w:hAnsi="Calibri"/>
                <w:sz w:val="22"/>
              </w:rPr>
              <w:t xml:space="preserve"> 01258 287980</w:t>
            </w:r>
            <w:r w:rsidRPr="00B246FF">
              <w:rPr>
                <w:rFonts w:ascii="Calibri" w:eastAsia="Times New Roman" w:hAnsi="Calibri" w:cs="Calibri"/>
                <w:sz w:val="22"/>
                <w:szCs w:val="22"/>
                <w:lang w:eastAsia="en-GB"/>
              </w:rPr>
              <w:t>  </w:t>
            </w:r>
          </w:p>
        </w:tc>
      </w:tr>
      <w:tr w:rsidR="00B246FF" w:rsidRPr="00B246FF" w14:paraId="42FC211A" w14:textId="77777777" w:rsidTr="006843D1">
        <w:tc>
          <w:tcPr>
            <w:tcW w:w="8775" w:type="dxa"/>
            <w:tcBorders>
              <w:top w:val="single" w:sz="6" w:space="0" w:color="auto"/>
              <w:left w:val="single" w:sz="6" w:space="0" w:color="auto"/>
              <w:bottom w:val="single" w:sz="6" w:space="0" w:color="auto"/>
              <w:right w:val="single" w:sz="6" w:space="0" w:color="auto"/>
            </w:tcBorders>
            <w:shd w:val="clear" w:color="auto" w:fill="auto"/>
            <w:hideMark/>
          </w:tcPr>
          <w:p w14:paraId="7A2C73EC" w14:textId="77777777" w:rsidR="00B246FF" w:rsidRPr="006843D1" w:rsidRDefault="00B246FF" w:rsidP="00854A6E">
            <w:pPr>
              <w:ind w:left="150"/>
              <w:jc w:val="both"/>
              <w:textAlignment w:val="baseline"/>
              <w:rPr>
                <w:rFonts w:ascii="Segoe UI" w:hAnsi="Segoe UI"/>
                <w:sz w:val="18"/>
              </w:rPr>
            </w:pPr>
            <w:r w:rsidRPr="006843D1">
              <w:rPr>
                <w:rFonts w:ascii="Calibri" w:hAnsi="Calibri"/>
                <w:b/>
                <w:sz w:val="22"/>
              </w:rPr>
              <w:t>Ealing Community Transport</w:t>
            </w:r>
            <w:r w:rsidRPr="00B246FF">
              <w:rPr>
                <w:rFonts w:ascii="Calibri" w:eastAsia="Times New Roman" w:hAnsi="Calibri" w:cs="Calibri"/>
                <w:sz w:val="22"/>
                <w:szCs w:val="22"/>
                <w:lang w:eastAsia="en-GB"/>
              </w:rPr>
              <w:t> </w:t>
            </w:r>
          </w:p>
          <w:p w14:paraId="16682BC2" w14:textId="5BF6FFBA" w:rsidR="00B246FF" w:rsidRPr="006843D1" w:rsidRDefault="00B246FF" w:rsidP="00854A6E">
            <w:pPr>
              <w:ind w:left="150"/>
              <w:jc w:val="both"/>
              <w:textAlignment w:val="baseline"/>
              <w:rPr>
                <w:rFonts w:ascii="Segoe UI" w:hAnsi="Segoe UI"/>
                <w:sz w:val="18"/>
              </w:rPr>
            </w:pPr>
            <w:r w:rsidRPr="006843D1">
              <w:rPr>
                <w:rFonts w:ascii="Calibri" w:hAnsi="Calibri"/>
                <w:sz w:val="22"/>
              </w:rPr>
              <w:t xml:space="preserve">Greenford Depot, Greenford Road, Greenford, Middlesex UB6 </w:t>
            </w:r>
            <w:r w:rsidR="004E1B84" w:rsidRPr="006843D1">
              <w:rPr>
                <w:rFonts w:ascii="Calibri" w:hAnsi="Calibri"/>
                <w:sz w:val="22"/>
              </w:rPr>
              <w:t>9A</w:t>
            </w:r>
            <w:r w:rsidR="004E1B84">
              <w:rPr>
                <w:rFonts w:ascii="Calibri" w:hAnsi="Calibri"/>
                <w:sz w:val="22"/>
              </w:rPr>
              <w:t>N</w:t>
            </w:r>
            <w:r w:rsidR="004E1B84" w:rsidRPr="00B246FF">
              <w:rPr>
                <w:rFonts w:ascii="Calibri" w:eastAsia="Times New Roman" w:hAnsi="Calibri" w:cs="Calibri"/>
                <w:sz w:val="22"/>
                <w:szCs w:val="22"/>
                <w:lang w:eastAsia="en-GB"/>
              </w:rPr>
              <w:t> </w:t>
            </w:r>
          </w:p>
          <w:p w14:paraId="3563713E" w14:textId="16C02AF5" w:rsidR="00B246FF" w:rsidRPr="006843D1" w:rsidRDefault="00565E46" w:rsidP="00854A6E">
            <w:pPr>
              <w:ind w:left="150"/>
              <w:jc w:val="both"/>
              <w:textAlignment w:val="baseline"/>
              <w:rPr>
                <w:rFonts w:ascii="Segoe UI" w:hAnsi="Segoe UI"/>
                <w:sz w:val="18"/>
              </w:rPr>
            </w:pPr>
            <w:hyperlink r:id="rId14" w:history="1">
              <w:r w:rsidRPr="00C30AD4">
                <w:rPr>
                  <w:rStyle w:val="Hyperlink"/>
                  <w:rFonts w:ascii="Calibri" w:hAnsi="Calibri"/>
                  <w:sz w:val="22"/>
                </w:rPr>
                <w:t>ealing@ectcharity.co.uk</w:t>
              </w:r>
            </w:hyperlink>
            <w:r>
              <w:rPr>
                <w:rFonts w:ascii="Calibri" w:hAnsi="Calibri"/>
                <w:sz w:val="22"/>
              </w:rPr>
              <w:t xml:space="preserve"> </w:t>
            </w:r>
            <w:r w:rsidR="00B246FF" w:rsidRPr="006843D1">
              <w:rPr>
                <w:rFonts w:ascii="Calibri" w:hAnsi="Calibri"/>
                <w:sz w:val="22"/>
              </w:rPr>
              <w:t>// 020 8813 3210</w:t>
            </w:r>
            <w:r w:rsidR="00B246FF" w:rsidRPr="00B246FF">
              <w:rPr>
                <w:rFonts w:ascii="Calibri" w:eastAsia="Times New Roman" w:hAnsi="Calibri" w:cs="Calibri"/>
                <w:sz w:val="22"/>
                <w:szCs w:val="22"/>
                <w:lang w:eastAsia="en-GB"/>
              </w:rPr>
              <w:t> </w:t>
            </w:r>
          </w:p>
        </w:tc>
      </w:tr>
    </w:tbl>
    <w:p w14:paraId="3A98CE10" w14:textId="77777777" w:rsidR="00F0166B" w:rsidRDefault="00F0166B" w:rsidP="00F0166B">
      <w:r>
        <w:t> </w:t>
      </w:r>
    </w:p>
    <w:p w14:paraId="1326095E" w14:textId="083D866B" w:rsidR="00F0166B" w:rsidRDefault="00F0166B" w:rsidP="006843D1">
      <w:pPr>
        <w:pStyle w:val="Level1"/>
      </w:pPr>
      <w:r>
        <w:t>Procedure for handling complaints</w:t>
      </w:r>
    </w:p>
    <w:p w14:paraId="35420E8D" w14:textId="6F3FCB22" w:rsidR="00F0166B" w:rsidRPr="00B246FF" w:rsidRDefault="00F0166B" w:rsidP="006843D1">
      <w:pPr>
        <w:pStyle w:val="level2list"/>
      </w:pPr>
      <w:r w:rsidRPr="00B246FF">
        <w:t xml:space="preserve">ECT will handle all complaints </w:t>
      </w:r>
      <w:r w:rsidRPr="006843D1">
        <w:t>appropriately</w:t>
      </w:r>
      <w:r w:rsidRPr="00B246FF">
        <w:t xml:space="preserve">, </w:t>
      </w:r>
      <w:r w:rsidRPr="006843D1">
        <w:t>fairly</w:t>
      </w:r>
      <w:r w:rsidRPr="00B246FF">
        <w:t xml:space="preserve">, </w:t>
      </w:r>
      <w:r w:rsidRPr="006843D1">
        <w:t>thoroughly</w:t>
      </w:r>
      <w:r w:rsidRPr="00B246FF">
        <w:t xml:space="preserve"> and in a </w:t>
      </w:r>
      <w:r w:rsidRPr="006843D1">
        <w:t>timely manner</w:t>
      </w:r>
      <w:r w:rsidRPr="00B246FF">
        <w:t>.</w:t>
      </w:r>
    </w:p>
    <w:p w14:paraId="423501ED" w14:textId="56F86D78" w:rsidR="00F0166B" w:rsidRPr="00B246FF" w:rsidRDefault="00F0166B" w:rsidP="006843D1">
      <w:pPr>
        <w:pStyle w:val="level2list"/>
      </w:pPr>
      <w:r w:rsidRPr="00B246FF">
        <w:t>Once the customer has lodged a complaint as outlined in paragraph 2 of this policy</w:t>
      </w:r>
      <w:r w:rsidRPr="006843D1">
        <w:t xml:space="preserve">, the manager investigating the complaint </w:t>
      </w:r>
      <w:r w:rsidR="004E1B84">
        <w:t>and will respond to the complainant in writing or verbally as preferred by the complainant</w:t>
      </w:r>
      <w:r w:rsidRPr="00B246FF">
        <w:t>.</w:t>
      </w:r>
    </w:p>
    <w:p w14:paraId="0697BE9D" w14:textId="77777777" w:rsidR="00F0166B" w:rsidRPr="00B246FF" w:rsidRDefault="00F0166B" w:rsidP="006843D1">
      <w:pPr>
        <w:pStyle w:val="level2list"/>
      </w:pPr>
      <w:r w:rsidRPr="00B246FF">
        <w:lastRenderedPageBreak/>
        <w:t xml:space="preserve">If the customer </w:t>
      </w:r>
      <w:r w:rsidRPr="006843D1">
        <w:t>remains unsatisfied with the reply</w:t>
      </w:r>
      <w:r w:rsidRPr="00B246FF">
        <w:t xml:space="preserve"> or has concerns regarding the </w:t>
      </w:r>
      <w:r w:rsidRPr="006843D1">
        <w:t>handling</w:t>
      </w:r>
      <w:r w:rsidRPr="00B246FF">
        <w:t xml:space="preserve"> of their complaint, the customer should:</w:t>
      </w:r>
    </w:p>
    <w:p w14:paraId="06783487" w14:textId="708C9826" w:rsidR="00F0166B" w:rsidRPr="00B246FF" w:rsidRDefault="00F0166B" w:rsidP="006843D1">
      <w:pPr>
        <w:pStyle w:val="level2list"/>
        <w:numPr>
          <w:ilvl w:val="3"/>
          <w:numId w:val="10"/>
        </w:numPr>
      </w:pPr>
      <w:r w:rsidRPr="00B246FF">
        <w:t>submit their complaint in writing to the relevant depot’s general manager; or</w:t>
      </w:r>
    </w:p>
    <w:p w14:paraId="4C83C7F4" w14:textId="489E9EDB" w:rsidR="00F0166B" w:rsidRPr="00B246FF" w:rsidRDefault="00F0166B" w:rsidP="006843D1">
      <w:pPr>
        <w:pStyle w:val="level2list"/>
        <w:numPr>
          <w:ilvl w:val="3"/>
          <w:numId w:val="10"/>
        </w:numPr>
      </w:pPr>
      <w:r w:rsidRPr="00B246FF">
        <w:t>ask to speak with the relevant depot’s general manager, who will revert as soon as possible in the event that they are unavailable.</w:t>
      </w:r>
    </w:p>
    <w:p w14:paraId="769ABC38" w14:textId="77777777" w:rsidR="00F0166B" w:rsidRPr="00B246FF" w:rsidRDefault="00F0166B" w:rsidP="006843D1">
      <w:pPr>
        <w:pStyle w:val="level2list"/>
      </w:pPr>
      <w:r w:rsidRPr="00B246FF">
        <w:t xml:space="preserve">If the customer </w:t>
      </w:r>
      <w:r w:rsidRPr="006843D1">
        <w:t>remains aggrieved</w:t>
      </w:r>
      <w:r w:rsidRPr="00B246FF">
        <w:t xml:space="preserve"> after following the steps outlined above, they should then write to the:</w:t>
      </w:r>
    </w:p>
    <w:p w14:paraId="2933B5B8" w14:textId="348F9C6E" w:rsidR="00F0166B" w:rsidRPr="00B246FF" w:rsidRDefault="00F0166B" w:rsidP="006843D1">
      <w:pPr>
        <w:pStyle w:val="level2list"/>
        <w:numPr>
          <w:ilvl w:val="3"/>
          <w:numId w:val="10"/>
        </w:numPr>
      </w:pPr>
      <w:r w:rsidRPr="00B246FF">
        <w:t>Chief Executive who will investigate the complaint and reply within 10 working days; or</w:t>
      </w:r>
    </w:p>
    <w:p w14:paraId="3FCF139C" w14:textId="547E57CC" w:rsidR="00F0166B" w:rsidRPr="00B246FF" w:rsidRDefault="004E1B84" w:rsidP="006843D1">
      <w:pPr>
        <w:pStyle w:val="level2list"/>
        <w:numPr>
          <w:ilvl w:val="3"/>
          <w:numId w:val="10"/>
        </w:numPr>
      </w:pPr>
      <w:r>
        <w:t xml:space="preserve">Chair of the </w:t>
      </w:r>
      <w:r w:rsidR="00F0166B" w:rsidRPr="00B246FF">
        <w:t>Board of Trustees who may wish to meet with the customer, conduct an investigation and/or arrange a further meeting between the customer and appropriate staff members.  It is important to note that the Trustees’ principle role is to be responsible for the implementation of this policy rather than the provision of any resolution of the complaint. The Trustees will respond to the written complaint within 10 working days.</w:t>
      </w:r>
    </w:p>
    <w:p w14:paraId="06301141" w14:textId="77777777" w:rsidR="00F0166B" w:rsidRDefault="00F0166B" w:rsidP="006843D1"/>
    <w:p w14:paraId="7D12AC52" w14:textId="140BC3C1" w:rsidR="00F0166B" w:rsidRDefault="00F0166B" w:rsidP="006843D1">
      <w:pPr>
        <w:pStyle w:val="Level1"/>
      </w:pPr>
      <w:r>
        <w:t>Review of complaints</w:t>
      </w:r>
    </w:p>
    <w:p w14:paraId="5069D174" w14:textId="77777777" w:rsidR="00F0166B" w:rsidRPr="00B246FF" w:rsidRDefault="00F0166B" w:rsidP="006843D1">
      <w:pPr>
        <w:pStyle w:val="level2list"/>
      </w:pPr>
      <w:r w:rsidRPr="00B246FF">
        <w:t>Each complaint received will be logged by the receiving manager.</w:t>
      </w:r>
    </w:p>
    <w:p w14:paraId="2D4CD549" w14:textId="48ED4EE6" w:rsidR="00DA0FE6" w:rsidRDefault="00F0166B" w:rsidP="006843D1">
      <w:pPr>
        <w:pStyle w:val="level2list"/>
      </w:pPr>
      <w:r w:rsidRPr="00B246FF">
        <w:t>Each depot manager will conduct a review of complaints at least monthly and the handling, outcome and lessons learnt from the complaint will be logged for review at the TMT meeting.</w:t>
      </w:r>
    </w:p>
    <w:p w14:paraId="52F8AEE3" w14:textId="7F25526C" w:rsidR="00B246FF" w:rsidRDefault="00B246FF" w:rsidP="006843D1">
      <w:pPr>
        <w:pStyle w:val="Level1"/>
        <w:numPr>
          <w:ilvl w:val="0"/>
          <w:numId w:val="0"/>
        </w:numPr>
        <w:ind w:left="567" w:hanging="567"/>
      </w:pPr>
    </w:p>
    <w:tbl>
      <w:tblPr>
        <w:tblW w:w="8905"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9"/>
        <w:gridCol w:w="3173"/>
        <w:gridCol w:w="1665"/>
        <w:gridCol w:w="3098"/>
      </w:tblGrid>
      <w:tr w:rsidR="00E64C67" w:rsidRPr="00B246FF" w14:paraId="04C88F82" w14:textId="77777777" w:rsidTr="00890381">
        <w:trPr>
          <w:trHeight w:val="435"/>
        </w:trPr>
        <w:tc>
          <w:tcPr>
            <w:tcW w:w="969" w:type="dxa"/>
            <w:tcBorders>
              <w:top w:val="single" w:sz="6" w:space="0" w:color="auto"/>
              <w:left w:val="single" w:sz="6" w:space="0" w:color="auto"/>
              <w:bottom w:val="single" w:sz="6" w:space="0" w:color="auto"/>
              <w:right w:val="single" w:sz="6" w:space="0" w:color="auto"/>
            </w:tcBorders>
            <w:shd w:val="clear" w:color="auto" w:fill="EDEDED"/>
            <w:hideMark/>
          </w:tcPr>
          <w:p w14:paraId="5338E42C" w14:textId="77777777" w:rsidR="00B246FF" w:rsidRPr="006843D1" w:rsidRDefault="00B246FF" w:rsidP="006843D1">
            <w:pPr>
              <w:ind w:left="360" w:hanging="360"/>
              <w:jc w:val="both"/>
              <w:textAlignment w:val="baseline"/>
              <w:rPr>
                <w:rFonts w:ascii="Segoe UI" w:hAnsi="Segoe UI"/>
                <w:sz w:val="18"/>
              </w:rPr>
            </w:pPr>
            <w:r w:rsidRPr="006843D1">
              <w:rPr>
                <w:rFonts w:ascii="Calibri" w:hAnsi="Calibri"/>
                <w:b/>
                <w:sz w:val="18"/>
              </w:rPr>
              <w:t>Version</w:t>
            </w:r>
            <w:r w:rsidRPr="00B246FF">
              <w:rPr>
                <w:rFonts w:ascii="Calibri" w:eastAsia="Times New Roman" w:hAnsi="Calibri" w:cs="Calibri"/>
                <w:b/>
                <w:bCs/>
                <w:sz w:val="18"/>
                <w:szCs w:val="18"/>
                <w:lang w:eastAsia="en-GB"/>
              </w:rPr>
              <w:t> </w:t>
            </w:r>
          </w:p>
        </w:tc>
        <w:tc>
          <w:tcPr>
            <w:tcW w:w="3173" w:type="dxa"/>
            <w:tcBorders>
              <w:top w:val="single" w:sz="6" w:space="0" w:color="auto"/>
              <w:left w:val="single" w:sz="6" w:space="0" w:color="auto"/>
              <w:bottom w:val="single" w:sz="6" w:space="0" w:color="auto"/>
              <w:right w:val="single" w:sz="6" w:space="0" w:color="auto"/>
            </w:tcBorders>
            <w:shd w:val="clear" w:color="auto" w:fill="EDEDED"/>
            <w:hideMark/>
          </w:tcPr>
          <w:p w14:paraId="48964560" w14:textId="77777777" w:rsidR="00B246FF" w:rsidRPr="006843D1" w:rsidRDefault="00B246FF" w:rsidP="006843D1">
            <w:pPr>
              <w:jc w:val="both"/>
              <w:textAlignment w:val="baseline"/>
              <w:rPr>
                <w:rFonts w:ascii="Segoe UI" w:hAnsi="Segoe UI"/>
                <w:sz w:val="18"/>
              </w:rPr>
            </w:pPr>
            <w:r w:rsidRPr="006843D1">
              <w:rPr>
                <w:rFonts w:ascii="Calibri" w:hAnsi="Calibri"/>
                <w:b/>
                <w:sz w:val="18"/>
              </w:rPr>
              <w:t>Comments</w:t>
            </w:r>
            <w:r w:rsidRPr="00B246FF">
              <w:rPr>
                <w:rFonts w:ascii="Calibri" w:eastAsia="Times New Roman" w:hAnsi="Calibri" w:cs="Calibri"/>
                <w:b/>
                <w:bCs/>
                <w:sz w:val="18"/>
                <w:szCs w:val="18"/>
                <w:lang w:eastAsia="en-GB"/>
              </w:rPr>
              <w:t> </w:t>
            </w:r>
          </w:p>
        </w:tc>
        <w:tc>
          <w:tcPr>
            <w:tcW w:w="1665" w:type="dxa"/>
            <w:tcBorders>
              <w:top w:val="single" w:sz="6" w:space="0" w:color="auto"/>
              <w:left w:val="single" w:sz="6" w:space="0" w:color="auto"/>
              <w:bottom w:val="single" w:sz="6" w:space="0" w:color="auto"/>
              <w:right w:val="single" w:sz="6" w:space="0" w:color="auto"/>
            </w:tcBorders>
            <w:shd w:val="clear" w:color="auto" w:fill="EDEDED"/>
            <w:hideMark/>
          </w:tcPr>
          <w:p w14:paraId="47F0421A" w14:textId="77777777" w:rsidR="00B246FF" w:rsidRPr="006843D1" w:rsidRDefault="00B246FF" w:rsidP="00854A6E">
            <w:pPr>
              <w:ind w:left="139"/>
              <w:jc w:val="both"/>
              <w:textAlignment w:val="baseline"/>
              <w:rPr>
                <w:rFonts w:ascii="Segoe UI" w:hAnsi="Segoe UI"/>
                <w:sz w:val="18"/>
              </w:rPr>
            </w:pPr>
            <w:r w:rsidRPr="006843D1">
              <w:rPr>
                <w:rFonts w:ascii="Calibri" w:hAnsi="Calibri"/>
                <w:b/>
                <w:sz w:val="18"/>
              </w:rPr>
              <w:t>Edits by:</w:t>
            </w:r>
            <w:r w:rsidRPr="00B246FF">
              <w:rPr>
                <w:rFonts w:ascii="Calibri" w:eastAsia="Times New Roman" w:hAnsi="Calibri" w:cs="Calibri"/>
                <w:b/>
                <w:bCs/>
                <w:sz w:val="18"/>
                <w:szCs w:val="18"/>
                <w:lang w:eastAsia="en-GB"/>
              </w:rPr>
              <w:t> </w:t>
            </w:r>
          </w:p>
        </w:tc>
        <w:tc>
          <w:tcPr>
            <w:tcW w:w="3098" w:type="dxa"/>
            <w:tcBorders>
              <w:top w:val="single" w:sz="6" w:space="0" w:color="auto"/>
              <w:left w:val="single" w:sz="6" w:space="0" w:color="auto"/>
              <w:bottom w:val="single" w:sz="6" w:space="0" w:color="auto"/>
              <w:right w:val="single" w:sz="6" w:space="0" w:color="auto"/>
            </w:tcBorders>
            <w:shd w:val="clear" w:color="auto" w:fill="EDEDED"/>
            <w:hideMark/>
          </w:tcPr>
          <w:p w14:paraId="6724AB32" w14:textId="77777777" w:rsidR="00B246FF" w:rsidRPr="006843D1" w:rsidRDefault="00B246FF" w:rsidP="006843D1">
            <w:pPr>
              <w:jc w:val="both"/>
              <w:textAlignment w:val="baseline"/>
              <w:rPr>
                <w:rFonts w:ascii="Segoe UI" w:hAnsi="Segoe UI"/>
                <w:sz w:val="18"/>
              </w:rPr>
            </w:pPr>
            <w:r w:rsidRPr="006843D1">
              <w:rPr>
                <w:rFonts w:ascii="Calibri" w:hAnsi="Calibri"/>
                <w:b/>
                <w:sz w:val="18"/>
              </w:rPr>
              <w:t>Date approved</w:t>
            </w:r>
            <w:r w:rsidRPr="00B246FF">
              <w:rPr>
                <w:rFonts w:ascii="Calibri" w:eastAsia="Times New Roman" w:hAnsi="Calibri" w:cs="Calibri"/>
                <w:b/>
                <w:bCs/>
                <w:sz w:val="18"/>
                <w:szCs w:val="18"/>
                <w:lang w:eastAsia="en-GB"/>
              </w:rPr>
              <w:t> </w:t>
            </w:r>
          </w:p>
        </w:tc>
      </w:tr>
      <w:tr w:rsidR="00B246FF" w:rsidRPr="00B246FF" w14:paraId="20A45357" w14:textId="77777777" w:rsidTr="00890381">
        <w:trPr>
          <w:trHeight w:val="435"/>
        </w:trPr>
        <w:tc>
          <w:tcPr>
            <w:tcW w:w="969" w:type="dxa"/>
            <w:tcBorders>
              <w:top w:val="single" w:sz="6" w:space="0" w:color="auto"/>
              <w:left w:val="single" w:sz="6" w:space="0" w:color="auto"/>
              <w:bottom w:val="single" w:sz="6" w:space="0" w:color="auto"/>
              <w:right w:val="single" w:sz="6" w:space="0" w:color="auto"/>
            </w:tcBorders>
            <w:shd w:val="clear" w:color="auto" w:fill="auto"/>
            <w:hideMark/>
          </w:tcPr>
          <w:p w14:paraId="1D3628BF" w14:textId="77777777" w:rsidR="00B246FF" w:rsidRPr="006843D1" w:rsidRDefault="00B246FF" w:rsidP="00854A6E">
            <w:pPr>
              <w:ind w:left="135"/>
              <w:jc w:val="both"/>
              <w:textAlignment w:val="baseline"/>
              <w:rPr>
                <w:rFonts w:ascii="Segoe UI" w:hAnsi="Segoe UI"/>
                <w:b/>
                <w:sz w:val="18"/>
              </w:rPr>
            </w:pPr>
            <w:r w:rsidRPr="006843D1">
              <w:rPr>
                <w:rFonts w:ascii="Calibri" w:hAnsi="Calibri"/>
                <w:sz w:val="18"/>
              </w:rPr>
              <w:t>2</w:t>
            </w:r>
            <w:r w:rsidRPr="00B246FF">
              <w:rPr>
                <w:rFonts w:ascii="Calibri" w:eastAsia="Times New Roman" w:hAnsi="Calibri" w:cs="Calibri"/>
                <w:b/>
                <w:bCs/>
                <w:sz w:val="18"/>
                <w:szCs w:val="18"/>
                <w:lang w:eastAsia="en-GB"/>
              </w:rPr>
              <w:t> </w:t>
            </w:r>
          </w:p>
        </w:tc>
        <w:tc>
          <w:tcPr>
            <w:tcW w:w="3173" w:type="dxa"/>
            <w:tcBorders>
              <w:top w:val="single" w:sz="6" w:space="0" w:color="auto"/>
              <w:left w:val="single" w:sz="6" w:space="0" w:color="auto"/>
              <w:bottom w:val="single" w:sz="6" w:space="0" w:color="auto"/>
              <w:right w:val="single" w:sz="6" w:space="0" w:color="auto"/>
            </w:tcBorders>
            <w:shd w:val="clear" w:color="auto" w:fill="auto"/>
            <w:hideMark/>
          </w:tcPr>
          <w:p w14:paraId="41C5FBE8" w14:textId="77777777" w:rsidR="00B246FF" w:rsidRPr="006843D1" w:rsidRDefault="00B246FF" w:rsidP="00854A6E">
            <w:pPr>
              <w:ind w:left="52"/>
              <w:jc w:val="both"/>
              <w:textAlignment w:val="baseline"/>
              <w:rPr>
                <w:rFonts w:ascii="Segoe UI" w:hAnsi="Segoe UI"/>
                <w:b/>
                <w:sz w:val="18"/>
              </w:rPr>
            </w:pPr>
            <w:r w:rsidRPr="006843D1">
              <w:rPr>
                <w:rFonts w:ascii="Calibri" w:hAnsi="Calibri"/>
                <w:sz w:val="18"/>
              </w:rPr>
              <w:t>General edits and updates</w:t>
            </w:r>
            <w:r w:rsidRPr="00B246FF">
              <w:rPr>
                <w:rFonts w:ascii="Calibri" w:eastAsia="Times New Roman" w:hAnsi="Calibri" w:cs="Calibri"/>
                <w:b/>
                <w:bCs/>
                <w:sz w:val="18"/>
                <w:szCs w:val="18"/>
                <w:lang w:eastAsia="en-GB"/>
              </w:rPr>
              <w:t>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635DC8EC" w14:textId="77777777" w:rsidR="00B246FF" w:rsidRPr="006843D1" w:rsidRDefault="00B246FF" w:rsidP="00854A6E">
            <w:pPr>
              <w:ind w:left="139"/>
              <w:jc w:val="both"/>
              <w:textAlignment w:val="baseline"/>
              <w:rPr>
                <w:rFonts w:ascii="Segoe UI" w:hAnsi="Segoe UI"/>
                <w:b/>
                <w:sz w:val="18"/>
              </w:rPr>
            </w:pPr>
            <w:r w:rsidRPr="006843D1">
              <w:rPr>
                <w:rFonts w:ascii="Calibri" w:hAnsi="Calibri"/>
                <w:sz w:val="18"/>
              </w:rPr>
              <w:t>C. Murray-Lyon</w:t>
            </w:r>
            <w:r w:rsidRPr="00B246FF">
              <w:rPr>
                <w:rFonts w:ascii="Calibri" w:eastAsia="Times New Roman" w:hAnsi="Calibri" w:cs="Calibri"/>
                <w:b/>
                <w:bCs/>
                <w:sz w:val="18"/>
                <w:szCs w:val="18"/>
                <w:lang w:eastAsia="en-GB"/>
              </w:rPr>
              <w:t> </w:t>
            </w:r>
          </w:p>
        </w:tc>
        <w:tc>
          <w:tcPr>
            <w:tcW w:w="3098" w:type="dxa"/>
            <w:tcBorders>
              <w:top w:val="single" w:sz="6" w:space="0" w:color="auto"/>
              <w:left w:val="single" w:sz="6" w:space="0" w:color="auto"/>
              <w:bottom w:val="single" w:sz="6" w:space="0" w:color="auto"/>
              <w:right w:val="single" w:sz="6" w:space="0" w:color="auto"/>
            </w:tcBorders>
            <w:shd w:val="clear" w:color="auto" w:fill="auto"/>
            <w:hideMark/>
          </w:tcPr>
          <w:p w14:paraId="1FF1F72E" w14:textId="77777777" w:rsidR="00B246FF" w:rsidRPr="006843D1" w:rsidRDefault="00B246FF" w:rsidP="00854A6E">
            <w:pPr>
              <w:ind w:left="29"/>
              <w:jc w:val="both"/>
              <w:textAlignment w:val="baseline"/>
              <w:rPr>
                <w:rFonts w:ascii="Segoe UI" w:hAnsi="Segoe UI"/>
                <w:b/>
                <w:sz w:val="18"/>
              </w:rPr>
            </w:pPr>
            <w:r w:rsidRPr="006843D1">
              <w:rPr>
                <w:rFonts w:ascii="Calibri" w:hAnsi="Calibri"/>
                <w:sz w:val="18"/>
              </w:rPr>
              <w:t>Approved by board on 12.12.16</w:t>
            </w:r>
            <w:r w:rsidRPr="00B246FF">
              <w:rPr>
                <w:rFonts w:ascii="Calibri" w:eastAsia="Times New Roman" w:hAnsi="Calibri" w:cs="Calibri"/>
                <w:b/>
                <w:bCs/>
                <w:sz w:val="18"/>
                <w:szCs w:val="18"/>
                <w:lang w:eastAsia="en-GB"/>
              </w:rPr>
              <w:t> </w:t>
            </w:r>
          </w:p>
        </w:tc>
      </w:tr>
      <w:tr w:rsidR="00B246FF" w:rsidRPr="00B246FF" w14:paraId="0E00BE42" w14:textId="77777777" w:rsidTr="00890381">
        <w:trPr>
          <w:trHeight w:val="435"/>
        </w:trPr>
        <w:tc>
          <w:tcPr>
            <w:tcW w:w="969" w:type="dxa"/>
            <w:tcBorders>
              <w:top w:val="single" w:sz="6" w:space="0" w:color="auto"/>
              <w:left w:val="single" w:sz="6" w:space="0" w:color="auto"/>
              <w:bottom w:val="single" w:sz="6" w:space="0" w:color="auto"/>
              <w:right w:val="single" w:sz="6" w:space="0" w:color="auto"/>
            </w:tcBorders>
            <w:shd w:val="clear" w:color="auto" w:fill="auto"/>
            <w:hideMark/>
          </w:tcPr>
          <w:p w14:paraId="5B1DE9D9" w14:textId="77777777" w:rsidR="00B246FF" w:rsidRPr="006843D1" w:rsidRDefault="00B246FF" w:rsidP="00854A6E">
            <w:pPr>
              <w:ind w:left="135"/>
              <w:jc w:val="both"/>
              <w:textAlignment w:val="baseline"/>
              <w:rPr>
                <w:rFonts w:ascii="Segoe UI" w:hAnsi="Segoe UI"/>
                <w:b/>
                <w:sz w:val="18"/>
              </w:rPr>
            </w:pPr>
            <w:r w:rsidRPr="006843D1">
              <w:rPr>
                <w:rFonts w:ascii="Calibri" w:hAnsi="Calibri"/>
                <w:sz w:val="18"/>
              </w:rPr>
              <w:t>3</w:t>
            </w:r>
            <w:r w:rsidRPr="00B246FF">
              <w:rPr>
                <w:rFonts w:ascii="Calibri" w:eastAsia="Times New Roman" w:hAnsi="Calibri" w:cs="Calibri"/>
                <w:b/>
                <w:bCs/>
                <w:sz w:val="18"/>
                <w:szCs w:val="18"/>
                <w:lang w:eastAsia="en-GB"/>
              </w:rPr>
              <w:t> </w:t>
            </w:r>
          </w:p>
        </w:tc>
        <w:tc>
          <w:tcPr>
            <w:tcW w:w="3173" w:type="dxa"/>
            <w:tcBorders>
              <w:top w:val="single" w:sz="6" w:space="0" w:color="auto"/>
              <w:left w:val="single" w:sz="6" w:space="0" w:color="auto"/>
              <w:bottom w:val="single" w:sz="6" w:space="0" w:color="auto"/>
              <w:right w:val="single" w:sz="6" w:space="0" w:color="auto"/>
            </w:tcBorders>
            <w:shd w:val="clear" w:color="auto" w:fill="auto"/>
            <w:hideMark/>
          </w:tcPr>
          <w:p w14:paraId="25A12158" w14:textId="77777777" w:rsidR="00B246FF" w:rsidRPr="006843D1" w:rsidRDefault="00B246FF" w:rsidP="00854A6E">
            <w:pPr>
              <w:ind w:left="52"/>
              <w:jc w:val="both"/>
              <w:textAlignment w:val="baseline"/>
              <w:rPr>
                <w:rFonts w:ascii="Segoe UI" w:hAnsi="Segoe UI"/>
                <w:b/>
                <w:sz w:val="18"/>
              </w:rPr>
            </w:pPr>
            <w:r w:rsidRPr="006843D1">
              <w:rPr>
                <w:rFonts w:ascii="Calibri" w:hAnsi="Calibri"/>
                <w:sz w:val="18"/>
              </w:rPr>
              <w:t>Updated version</w:t>
            </w:r>
            <w:r w:rsidRPr="00B246FF">
              <w:rPr>
                <w:rFonts w:ascii="Calibri" w:eastAsia="Times New Roman" w:hAnsi="Calibri" w:cs="Calibri"/>
                <w:b/>
                <w:bCs/>
                <w:sz w:val="18"/>
                <w:szCs w:val="18"/>
                <w:lang w:eastAsia="en-GB"/>
              </w:rPr>
              <w:t>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3188FBF2" w14:textId="77777777" w:rsidR="00B246FF" w:rsidRPr="006843D1" w:rsidRDefault="00B246FF" w:rsidP="00854A6E">
            <w:pPr>
              <w:ind w:left="139"/>
              <w:jc w:val="both"/>
              <w:textAlignment w:val="baseline"/>
              <w:rPr>
                <w:rFonts w:ascii="Segoe UI" w:hAnsi="Segoe UI"/>
                <w:b/>
                <w:sz w:val="18"/>
              </w:rPr>
            </w:pPr>
            <w:r w:rsidRPr="006843D1">
              <w:rPr>
                <w:rFonts w:ascii="Calibri" w:hAnsi="Calibri"/>
                <w:sz w:val="18"/>
              </w:rPr>
              <w:t>C. Murray-Lyon</w:t>
            </w:r>
            <w:r w:rsidRPr="00B246FF">
              <w:rPr>
                <w:rFonts w:ascii="Calibri" w:eastAsia="Times New Roman" w:hAnsi="Calibri" w:cs="Calibri"/>
                <w:b/>
                <w:bCs/>
                <w:sz w:val="18"/>
                <w:szCs w:val="18"/>
                <w:lang w:eastAsia="en-GB"/>
              </w:rPr>
              <w:t> </w:t>
            </w:r>
          </w:p>
        </w:tc>
        <w:tc>
          <w:tcPr>
            <w:tcW w:w="3098" w:type="dxa"/>
            <w:tcBorders>
              <w:top w:val="single" w:sz="6" w:space="0" w:color="auto"/>
              <w:left w:val="single" w:sz="6" w:space="0" w:color="auto"/>
              <w:bottom w:val="single" w:sz="6" w:space="0" w:color="auto"/>
              <w:right w:val="single" w:sz="6" w:space="0" w:color="auto"/>
            </w:tcBorders>
            <w:shd w:val="clear" w:color="auto" w:fill="auto"/>
            <w:hideMark/>
          </w:tcPr>
          <w:p w14:paraId="6F36379F" w14:textId="77777777" w:rsidR="00B246FF" w:rsidRPr="006843D1" w:rsidRDefault="00B246FF" w:rsidP="00854A6E">
            <w:pPr>
              <w:ind w:left="29"/>
              <w:jc w:val="both"/>
              <w:textAlignment w:val="baseline"/>
              <w:rPr>
                <w:rFonts w:ascii="Segoe UI" w:hAnsi="Segoe UI"/>
                <w:b/>
                <w:sz w:val="18"/>
              </w:rPr>
            </w:pPr>
            <w:r w:rsidRPr="006843D1">
              <w:rPr>
                <w:rFonts w:ascii="Calibri" w:hAnsi="Calibri"/>
                <w:sz w:val="18"/>
              </w:rPr>
              <w:t>Approved by AW 11.11.19</w:t>
            </w:r>
            <w:r w:rsidRPr="00B246FF">
              <w:rPr>
                <w:rFonts w:ascii="Calibri" w:eastAsia="Times New Roman" w:hAnsi="Calibri" w:cs="Calibri"/>
                <w:b/>
                <w:bCs/>
                <w:sz w:val="18"/>
                <w:szCs w:val="18"/>
                <w:lang w:eastAsia="en-GB"/>
              </w:rPr>
              <w:t> </w:t>
            </w:r>
          </w:p>
        </w:tc>
      </w:tr>
      <w:tr w:rsidR="00B246FF" w:rsidRPr="00B246FF" w14:paraId="3DE6AB89" w14:textId="77777777" w:rsidTr="00890381">
        <w:trPr>
          <w:trHeight w:val="435"/>
        </w:trPr>
        <w:tc>
          <w:tcPr>
            <w:tcW w:w="969" w:type="dxa"/>
            <w:tcBorders>
              <w:top w:val="single" w:sz="6" w:space="0" w:color="auto"/>
              <w:left w:val="single" w:sz="6" w:space="0" w:color="auto"/>
              <w:bottom w:val="single" w:sz="6" w:space="0" w:color="auto"/>
              <w:right w:val="single" w:sz="6" w:space="0" w:color="auto"/>
            </w:tcBorders>
            <w:shd w:val="clear" w:color="auto" w:fill="auto"/>
            <w:hideMark/>
          </w:tcPr>
          <w:p w14:paraId="4D8FA83E" w14:textId="77777777" w:rsidR="00B246FF" w:rsidRPr="006843D1" w:rsidRDefault="00B246FF" w:rsidP="00854A6E">
            <w:pPr>
              <w:ind w:left="135"/>
              <w:jc w:val="both"/>
              <w:textAlignment w:val="baseline"/>
              <w:rPr>
                <w:rFonts w:ascii="Segoe UI" w:hAnsi="Segoe UI"/>
                <w:b/>
                <w:sz w:val="18"/>
              </w:rPr>
            </w:pPr>
            <w:r w:rsidRPr="006843D1">
              <w:rPr>
                <w:rFonts w:ascii="Calibri" w:hAnsi="Calibri"/>
                <w:sz w:val="18"/>
              </w:rPr>
              <w:t>3.1</w:t>
            </w:r>
            <w:r w:rsidRPr="00B246FF">
              <w:rPr>
                <w:rFonts w:ascii="Calibri" w:eastAsia="Times New Roman" w:hAnsi="Calibri" w:cs="Calibri"/>
                <w:b/>
                <w:bCs/>
                <w:sz w:val="18"/>
                <w:szCs w:val="18"/>
                <w:lang w:eastAsia="en-GB"/>
              </w:rPr>
              <w:t> </w:t>
            </w:r>
          </w:p>
        </w:tc>
        <w:tc>
          <w:tcPr>
            <w:tcW w:w="3173" w:type="dxa"/>
            <w:tcBorders>
              <w:top w:val="single" w:sz="6" w:space="0" w:color="auto"/>
              <w:left w:val="single" w:sz="6" w:space="0" w:color="auto"/>
              <w:bottom w:val="single" w:sz="6" w:space="0" w:color="auto"/>
              <w:right w:val="single" w:sz="6" w:space="0" w:color="auto"/>
            </w:tcBorders>
            <w:shd w:val="clear" w:color="auto" w:fill="auto"/>
            <w:hideMark/>
          </w:tcPr>
          <w:p w14:paraId="1B362A31" w14:textId="77777777" w:rsidR="00B246FF" w:rsidRPr="006843D1" w:rsidRDefault="00B246FF" w:rsidP="00854A6E">
            <w:pPr>
              <w:ind w:left="52"/>
              <w:jc w:val="both"/>
              <w:textAlignment w:val="baseline"/>
              <w:rPr>
                <w:rFonts w:ascii="Segoe UI" w:hAnsi="Segoe UI"/>
                <w:b/>
                <w:sz w:val="18"/>
              </w:rPr>
            </w:pPr>
            <w:r w:rsidRPr="006843D1">
              <w:rPr>
                <w:rFonts w:ascii="Calibri" w:hAnsi="Calibri"/>
                <w:sz w:val="18"/>
              </w:rPr>
              <w:t>Minor changes + Annual review</w:t>
            </w:r>
            <w:r w:rsidRPr="00B246FF">
              <w:rPr>
                <w:rFonts w:ascii="Calibri" w:eastAsia="Times New Roman" w:hAnsi="Calibri" w:cs="Calibri"/>
                <w:b/>
                <w:bCs/>
                <w:sz w:val="18"/>
                <w:szCs w:val="18"/>
                <w:lang w:eastAsia="en-GB"/>
              </w:rPr>
              <w:t>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07FD6136" w14:textId="77777777" w:rsidR="00B246FF" w:rsidRPr="006843D1" w:rsidRDefault="00B246FF" w:rsidP="00854A6E">
            <w:pPr>
              <w:ind w:left="139"/>
              <w:jc w:val="both"/>
              <w:textAlignment w:val="baseline"/>
              <w:rPr>
                <w:rFonts w:ascii="Segoe UI" w:hAnsi="Segoe UI"/>
                <w:b/>
                <w:sz w:val="18"/>
              </w:rPr>
            </w:pPr>
            <w:r w:rsidRPr="006843D1">
              <w:rPr>
                <w:rFonts w:ascii="Calibri" w:hAnsi="Calibri"/>
                <w:sz w:val="18"/>
              </w:rPr>
              <w:t xml:space="preserve">P </w:t>
            </w:r>
            <w:proofErr w:type="spellStart"/>
            <w:r w:rsidRPr="006843D1">
              <w:rPr>
                <w:rFonts w:ascii="Calibri" w:hAnsi="Calibri"/>
                <w:sz w:val="18"/>
              </w:rPr>
              <w:t>Chodzko-Zajko</w:t>
            </w:r>
            <w:proofErr w:type="spellEnd"/>
            <w:r w:rsidRPr="00B246FF">
              <w:rPr>
                <w:rFonts w:ascii="Calibri" w:eastAsia="Times New Roman" w:hAnsi="Calibri" w:cs="Calibri"/>
                <w:b/>
                <w:bCs/>
                <w:sz w:val="18"/>
                <w:szCs w:val="18"/>
                <w:lang w:eastAsia="en-GB"/>
              </w:rPr>
              <w:t> </w:t>
            </w:r>
          </w:p>
        </w:tc>
        <w:tc>
          <w:tcPr>
            <w:tcW w:w="3098" w:type="dxa"/>
            <w:tcBorders>
              <w:top w:val="single" w:sz="6" w:space="0" w:color="auto"/>
              <w:left w:val="single" w:sz="6" w:space="0" w:color="auto"/>
              <w:bottom w:val="single" w:sz="6" w:space="0" w:color="auto"/>
              <w:right w:val="single" w:sz="6" w:space="0" w:color="auto"/>
            </w:tcBorders>
            <w:shd w:val="clear" w:color="auto" w:fill="auto"/>
            <w:hideMark/>
          </w:tcPr>
          <w:p w14:paraId="1E870C11" w14:textId="77777777" w:rsidR="00B246FF" w:rsidRPr="006843D1" w:rsidRDefault="00B246FF" w:rsidP="00854A6E">
            <w:pPr>
              <w:ind w:left="29"/>
              <w:jc w:val="both"/>
              <w:textAlignment w:val="baseline"/>
              <w:rPr>
                <w:rFonts w:ascii="Segoe UI" w:hAnsi="Segoe UI"/>
                <w:b/>
                <w:sz w:val="18"/>
              </w:rPr>
            </w:pPr>
            <w:r w:rsidRPr="006843D1">
              <w:rPr>
                <w:rFonts w:ascii="Calibri" w:hAnsi="Calibri"/>
                <w:sz w:val="18"/>
              </w:rPr>
              <w:t>Approved by AW 18.11.20</w:t>
            </w:r>
            <w:r w:rsidRPr="00B246FF">
              <w:rPr>
                <w:rFonts w:ascii="Calibri" w:eastAsia="Times New Roman" w:hAnsi="Calibri" w:cs="Calibri"/>
                <w:b/>
                <w:bCs/>
                <w:sz w:val="18"/>
                <w:szCs w:val="18"/>
                <w:lang w:eastAsia="en-GB"/>
              </w:rPr>
              <w:t> </w:t>
            </w:r>
          </w:p>
        </w:tc>
      </w:tr>
      <w:tr w:rsidR="00B246FF" w:rsidRPr="00B246FF" w14:paraId="17361130" w14:textId="77777777" w:rsidTr="00890381">
        <w:trPr>
          <w:trHeight w:val="435"/>
        </w:trPr>
        <w:tc>
          <w:tcPr>
            <w:tcW w:w="969" w:type="dxa"/>
            <w:tcBorders>
              <w:top w:val="single" w:sz="6" w:space="0" w:color="auto"/>
              <w:left w:val="single" w:sz="6" w:space="0" w:color="auto"/>
              <w:bottom w:val="single" w:sz="6" w:space="0" w:color="auto"/>
              <w:right w:val="single" w:sz="6" w:space="0" w:color="auto"/>
            </w:tcBorders>
            <w:shd w:val="clear" w:color="auto" w:fill="auto"/>
          </w:tcPr>
          <w:p w14:paraId="02D21B81" w14:textId="6A7E642C" w:rsidR="00B246FF" w:rsidRPr="00B246FF" w:rsidRDefault="00B246FF" w:rsidP="00854A6E">
            <w:pPr>
              <w:ind w:left="135"/>
              <w:jc w:val="both"/>
              <w:textAlignment w:val="baseline"/>
              <w:rPr>
                <w:rFonts w:ascii="Calibri" w:eastAsia="Times New Roman" w:hAnsi="Calibri" w:cs="Calibri"/>
                <w:sz w:val="18"/>
                <w:szCs w:val="18"/>
                <w:lang w:eastAsia="en-GB"/>
              </w:rPr>
            </w:pPr>
            <w:r>
              <w:rPr>
                <w:rFonts w:ascii="Calibri" w:eastAsia="Times New Roman" w:hAnsi="Calibri" w:cs="Calibri"/>
                <w:sz w:val="18"/>
                <w:szCs w:val="18"/>
                <w:lang w:eastAsia="en-GB"/>
              </w:rPr>
              <w:t>3.2</w:t>
            </w:r>
          </w:p>
        </w:tc>
        <w:tc>
          <w:tcPr>
            <w:tcW w:w="3173" w:type="dxa"/>
            <w:tcBorders>
              <w:top w:val="single" w:sz="6" w:space="0" w:color="auto"/>
              <w:left w:val="single" w:sz="6" w:space="0" w:color="auto"/>
              <w:bottom w:val="single" w:sz="6" w:space="0" w:color="auto"/>
              <w:right w:val="single" w:sz="6" w:space="0" w:color="auto"/>
            </w:tcBorders>
            <w:shd w:val="clear" w:color="auto" w:fill="auto"/>
          </w:tcPr>
          <w:p w14:paraId="5175D1A5" w14:textId="3F9999A1" w:rsidR="00B246FF" w:rsidRPr="00B246FF" w:rsidRDefault="00B246FF" w:rsidP="00854A6E">
            <w:pPr>
              <w:ind w:left="52"/>
              <w:jc w:val="both"/>
              <w:textAlignment w:val="baseline"/>
              <w:rPr>
                <w:rFonts w:ascii="Calibri" w:eastAsia="Times New Roman" w:hAnsi="Calibri" w:cs="Calibri"/>
                <w:sz w:val="18"/>
                <w:szCs w:val="18"/>
                <w:lang w:eastAsia="en-GB"/>
              </w:rPr>
            </w:pPr>
            <w:r>
              <w:rPr>
                <w:rFonts w:ascii="Calibri" w:eastAsia="Times New Roman" w:hAnsi="Calibri" w:cs="Calibri"/>
                <w:sz w:val="18"/>
                <w:szCs w:val="18"/>
                <w:lang w:eastAsia="en-GB"/>
              </w:rPr>
              <w:t>Annual review</w:t>
            </w:r>
          </w:p>
        </w:tc>
        <w:tc>
          <w:tcPr>
            <w:tcW w:w="1665" w:type="dxa"/>
            <w:tcBorders>
              <w:top w:val="single" w:sz="6" w:space="0" w:color="auto"/>
              <w:left w:val="single" w:sz="6" w:space="0" w:color="auto"/>
              <w:bottom w:val="single" w:sz="6" w:space="0" w:color="auto"/>
              <w:right w:val="single" w:sz="6" w:space="0" w:color="auto"/>
            </w:tcBorders>
            <w:shd w:val="clear" w:color="auto" w:fill="auto"/>
          </w:tcPr>
          <w:p w14:paraId="2FF8801C" w14:textId="1234E56F" w:rsidR="00B246FF" w:rsidRPr="00B246FF" w:rsidRDefault="009B790E" w:rsidP="00854A6E">
            <w:pPr>
              <w:ind w:left="139"/>
              <w:jc w:val="both"/>
              <w:textAlignment w:val="baseline"/>
              <w:rPr>
                <w:rFonts w:ascii="Calibri" w:eastAsia="Times New Roman" w:hAnsi="Calibri" w:cs="Calibri"/>
                <w:sz w:val="18"/>
                <w:szCs w:val="18"/>
                <w:lang w:eastAsia="en-GB"/>
              </w:rPr>
            </w:pPr>
            <w:r>
              <w:rPr>
                <w:rFonts w:ascii="Calibri" w:eastAsia="Times New Roman" w:hAnsi="Calibri" w:cs="Calibri"/>
                <w:sz w:val="18"/>
                <w:szCs w:val="18"/>
                <w:lang w:eastAsia="en-GB"/>
              </w:rPr>
              <w:t>B. Casement</w:t>
            </w:r>
          </w:p>
        </w:tc>
        <w:tc>
          <w:tcPr>
            <w:tcW w:w="3098" w:type="dxa"/>
            <w:tcBorders>
              <w:top w:val="single" w:sz="6" w:space="0" w:color="auto"/>
              <w:left w:val="single" w:sz="6" w:space="0" w:color="auto"/>
              <w:bottom w:val="single" w:sz="6" w:space="0" w:color="auto"/>
              <w:right w:val="single" w:sz="6" w:space="0" w:color="auto"/>
            </w:tcBorders>
            <w:shd w:val="clear" w:color="auto" w:fill="auto"/>
          </w:tcPr>
          <w:p w14:paraId="6B57827E" w14:textId="0634B04E" w:rsidR="00B246FF" w:rsidRPr="00B246FF" w:rsidRDefault="00622B72" w:rsidP="00854A6E">
            <w:pPr>
              <w:ind w:left="29"/>
              <w:jc w:val="both"/>
              <w:textAlignment w:val="baseline"/>
              <w:rPr>
                <w:rFonts w:ascii="Calibri" w:eastAsia="Times New Roman" w:hAnsi="Calibri" w:cs="Calibri"/>
                <w:sz w:val="18"/>
                <w:szCs w:val="18"/>
                <w:lang w:eastAsia="en-GB"/>
              </w:rPr>
            </w:pPr>
            <w:r>
              <w:rPr>
                <w:rFonts w:ascii="Calibri" w:eastAsia="Times New Roman" w:hAnsi="Calibri" w:cs="Calibri"/>
                <w:sz w:val="18"/>
                <w:szCs w:val="18"/>
                <w:lang w:eastAsia="en-GB"/>
              </w:rPr>
              <w:t>Approved by TMT 3.11.22</w:t>
            </w:r>
          </w:p>
        </w:tc>
      </w:tr>
      <w:tr w:rsidR="007B36F8" w:rsidRPr="00B246FF" w14:paraId="5C3DAECA" w14:textId="77777777" w:rsidTr="00890381">
        <w:trPr>
          <w:trHeight w:val="435"/>
        </w:trPr>
        <w:tc>
          <w:tcPr>
            <w:tcW w:w="969" w:type="dxa"/>
            <w:tcBorders>
              <w:top w:val="single" w:sz="6" w:space="0" w:color="auto"/>
              <w:left w:val="single" w:sz="6" w:space="0" w:color="auto"/>
              <w:bottom w:val="single" w:sz="6" w:space="0" w:color="auto"/>
              <w:right w:val="single" w:sz="6" w:space="0" w:color="auto"/>
            </w:tcBorders>
            <w:shd w:val="clear" w:color="auto" w:fill="auto"/>
          </w:tcPr>
          <w:p w14:paraId="4D438CAE" w14:textId="310E04AE" w:rsidR="007B36F8" w:rsidRDefault="007B36F8" w:rsidP="00854A6E">
            <w:pPr>
              <w:ind w:left="135"/>
              <w:jc w:val="both"/>
              <w:textAlignment w:val="baseline"/>
              <w:rPr>
                <w:rFonts w:ascii="Calibri" w:eastAsia="Times New Roman" w:hAnsi="Calibri" w:cs="Calibri"/>
                <w:sz w:val="18"/>
                <w:szCs w:val="18"/>
                <w:lang w:eastAsia="en-GB"/>
              </w:rPr>
            </w:pPr>
            <w:r>
              <w:rPr>
                <w:rFonts w:ascii="Calibri" w:eastAsia="Times New Roman" w:hAnsi="Calibri" w:cs="Calibri"/>
                <w:sz w:val="18"/>
                <w:szCs w:val="18"/>
                <w:lang w:eastAsia="en-GB"/>
              </w:rPr>
              <w:t>3.3</w:t>
            </w:r>
          </w:p>
        </w:tc>
        <w:tc>
          <w:tcPr>
            <w:tcW w:w="3173" w:type="dxa"/>
            <w:tcBorders>
              <w:top w:val="single" w:sz="6" w:space="0" w:color="auto"/>
              <w:left w:val="single" w:sz="6" w:space="0" w:color="auto"/>
              <w:bottom w:val="single" w:sz="6" w:space="0" w:color="auto"/>
              <w:right w:val="single" w:sz="6" w:space="0" w:color="auto"/>
            </w:tcBorders>
            <w:shd w:val="clear" w:color="auto" w:fill="auto"/>
          </w:tcPr>
          <w:p w14:paraId="3378BC77" w14:textId="2D2972D4" w:rsidR="007B36F8" w:rsidRDefault="007B36F8" w:rsidP="00854A6E">
            <w:pPr>
              <w:ind w:left="52"/>
              <w:jc w:val="both"/>
              <w:textAlignment w:val="baseline"/>
              <w:rPr>
                <w:rFonts w:ascii="Calibri" w:eastAsia="Times New Roman" w:hAnsi="Calibri" w:cs="Calibri"/>
                <w:sz w:val="18"/>
                <w:szCs w:val="18"/>
                <w:lang w:eastAsia="en-GB"/>
              </w:rPr>
            </w:pPr>
            <w:r>
              <w:rPr>
                <w:rFonts w:ascii="Calibri" w:eastAsia="Times New Roman" w:hAnsi="Calibri" w:cs="Calibri"/>
                <w:sz w:val="18"/>
                <w:szCs w:val="18"/>
                <w:lang w:eastAsia="en-GB"/>
              </w:rPr>
              <w:t>Annual review</w:t>
            </w:r>
            <w:r w:rsidR="009B790E">
              <w:rPr>
                <w:rFonts w:ascii="Calibri" w:eastAsia="Times New Roman" w:hAnsi="Calibri" w:cs="Calibri"/>
                <w:sz w:val="18"/>
                <w:szCs w:val="18"/>
                <w:lang w:eastAsia="en-GB"/>
              </w:rPr>
              <w:t xml:space="preserve"> – minor edits</w:t>
            </w:r>
          </w:p>
        </w:tc>
        <w:tc>
          <w:tcPr>
            <w:tcW w:w="1665" w:type="dxa"/>
            <w:tcBorders>
              <w:top w:val="single" w:sz="6" w:space="0" w:color="auto"/>
              <w:left w:val="single" w:sz="6" w:space="0" w:color="auto"/>
              <w:bottom w:val="single" w:sz="6" w:space="0" w:color="auto"/>
              <w:right w:val="single" w:sz="6" w:space="0" w:color="auto"/>
            </w:tcBorders>
            <w:shd w:val="clear" w:color="auto" w:fill="auto"/>
          </w:tcPr>
          <w:p w14:paraId="39E2DF1F" w14:textId="2C948A6E" w:rsidR="007B36F8" w:rsidRDefault="00B607FE" w:rsidP="00854A6E">
            <w:pPr>
              <w:ind w:left="139"/>
              <w:jc w:val="both"/>
              <w:textAlignment w:val="baseline"/>
              <w:rPr>
                <w:rFonts w:ascii="Calibri" w:eastAsia="Times New Roman" w:hAnsi="Calibri" w:cs="Calibri"/>
                <w:sz w:val="18"/>
                <w:szCs w:val="18"/>
                <w:lang w:eastAsia="en-GB"/>
              </w:rPr>
            </w:pPr>
            <w:r>
              <w:rPr>
                <w:rFonts w:ascii="Calibri" w:eastAsia="Times New Roman" w:hAnsi="Calibri" w:cs="Calibri"/>
                <w:sz w:val="18"/>
                <w:szCs w:val="18"/>
                <w:lang w:eastAsia="en-GB"/>
              </w:rPr>
              <w:t>J. Chesters</w:t>
            </w:r>
          </w:p>
        </w:tc>
        <w:tc>
          <w:tcPr>
            <w:tcW w:w="3098" w:type="dxa"/>
            <w:tcBorders>
              <w:top w:val="single" w:sz="6" w:space="0" w:color="auto"/>
              <w:left w:val="single" w:sz="6" w:space="0" w:color="auto"/>
              <w:bottom w:val="single" w:sz="6" w:space="0" w:color="auto"/>
              <w:right w:val="single" w:sz="6" w:space="0" w:color="auto"/>
            </w:tcBorders>
            <w:shd w:val="clear" w:color="auto" w:fill="auto"/>
          </w:tcPr>
          <w:p w14:paraId="4F968373" w14:textId="4E4FA488" w:rsidR="007B36F8" w:rsidRDefault="007B36F8" w:rsidP="00854A6E">
            <w:pPr>
              <w:ind w:left="29"/>
              <w:jc w:val="both"/>
              <w:textAlignment w:val="baseline"/>
              <w:rPr>
                <w:rFonts w:ascii="Calibri" w:eastAsia="Times New Roman" w:hAnsi="Calibri" w:cs="Calibri"/>
                <w:sz w:val="18"/>
                <w:szCs w:val="18"/>
                <w:lang w:eastAsia="en-GB"/>
              </w:rPr>
            </w:pPr>
            <w:r>
              <w:rPr>
                <w:rFonts w:ascii="Calibri" w:eastAsia="Times New Roman" w:hAnsi="Calibri" w:cs="Calibri"/>
                <w:sz w:val="18"/>
                <w:szCs w:val="18"/>
                <w:lang w:eastAsia="en-GB"/>
              </w:rPr>
              <w:t xml:space="preserve">Approved by TMT </w:t>
            </w:r>
            <w:r w:rsidR="0084608C">
              <w:rPr>
                <w:rFonts w:ascii="Calibri" w:eastAsia="Times New Roman" w:hAnsi="Calibri" w:cs="Calibri"/>
                <w:sz w:val="18"/>
                <w:szCs w:val="18"/>
                <w:lang w:eastAsia="en-GB"/>
              </w:rPr>
              <w:t>25.10.23</w:t>
            </w:r>
          </w:p>
        </w:tc>
      </w:tr>
      <w:tr w:rsidR="005C2A18" w:rsidRPr="00B246FF" w14:paraId="1661D1EB" w14:textId="77777777" w:rsidTr="00890381">
        <w:trPr>
          <w:trHeight w:val="435"/>
        </w:trPr>
        <w:tc>
          <w:tcPr>
            <w:tcW w:w="969" w:type="dxa"/>
            <w:tcBorders>
              <w:top w:val="single" w:sz="6" w:space="0" w:color="auto"/>
              <w:left w:val="single" w:sz="6" w:space="0" w:color="auto"/>
              <w:bottom w:val="single" w:sz="6" w:space="0" w:color="auto"/>
              <w:right w:val="single" w:sz="6" w:space="0" w:color="auto"/>
            </w:tcBorders>
            <w:shd w:val="clear" w:color="auto" w:fill="auto"/>
          </w:tcPr>
          <w:p w14:paraId="024EB14D" w14:textId="52484E38" w:rsidR="005C2A18" w:rsidRDefault="005C2A18" w:rsidP="00854A6E">
            <w:pPr>
              <w:ind w:left="135"/>
              <w:jc w:val="both"/>
              <w:textAlignment w:val="baseline"/>
              <w:rPr>
                <w:rFonts w:ascii="Calibri" w:eastAsia="Times New Roman" w:hAnsi="Calibri" w:cs="Calibri"/>
                <w:sz w:val="18"/>
                <w:szCs w:val="18"/>
                <w:lang w:eastAsia="en-GB"/>
              </w:rPr>
            </w:pPr>
            <w:r>
              <w:rPr>
                <w:rFonts w:ascii="Calibri" w:eastAsia="Times New Roman" w:hAnsi="Calibri" w:cs="Calibri"/>
                <w:sz w:val="18"/>
                <w:szCs w:val="18"/>
                <w:lang w:eastAsia="en-GB"/>
              </w:rPr>
              <w:t>3.4</w:t>
            </w:r>
          </w:p>
        </w:tc>
        <w:tc>
          <w:tcPr>
            <w:tcW w:w="3173" w:type="dxa"/>
            <w:tcBorders>
              <w:top w:val="single" w:sz="6" w:space="0" w:color="auto"/>
              <w:left w:val="single" w:sz="6" w:space="0" w:color="auto"/>
              <w:bottom w:val="single" w:sz="6" w:space="0" w:color="auto"/>
              <w:right w:val="single" w:sz="6" w:space="0" w:color="auto"/>
            </w:tcBorders>
            <w:shd w:val="clear" w:color="auto" w:fill="auto"/>
          </w:tcPr>
          <w:p w14:paraId="1FF4795E" w14:textId="6AE04567" w:rsidR="005C2A18" w:rsidRDefault="005C2A18" w:rsidP="00854A6E">
            <w:pPr>
              <w:ind w:left="52"/>
              <w:jc w:val="both"/>
              <w:textAlignment w:val="baseline"/>
              <w:rPr>
                <w:rFonts w:ascii="Calibri" w:eastAsia="Times New Roman" w:hAnsi="Calibri" w:cs="Calibri"/>
                <w:sz w:val="18"/>
                <w:szCs w:val="18"/>
                <w:lang w:eastAsia="en-GB"/>
              </w:rPr>
            </w:pPr>
            <w:r>
              <w:rPr>
                <w:rFonts w:ascii="Calibri" w:eastAsia="Times New Roman" w:hAnsi="Calibri" w:cs="Calibri"/>
                <w:sz w:val="18"/>
                <w:szCs w:val="18"/>
                <w:lang w:eastAsia="en-GB"/>
              </w:rPr>
              <w:t>Annual review – change to name and minor edits</w:t>
            </w:r>
          </w:p>
        </w:tc>
        <w:tc>
          <w:tcPr>
            <w:tcW w:w="1665" w:type="dxa"/>
            <w:tcBorders>
              <w:top w:val="single" w:sz="6" w:space="0" w:color="auto"/>
              <w:left w:val="single" w:sz="6" w:space="0" w:color="auto"/>
              <w:bottom w:val="single" w:sz="6" w:space="0" w:color="auto"/>
              <w:right w:val="single" w:sz="6" w:space="0" w:color="auto"/>
            </w:tcBorders>
            <w:shd w:val="clear" w:color="auto" w:fill="auto"/>
          </w:tcPr>
          <w:p w14:paraId="00E0CCF1" w14:textId="5A164A32" w:rsidR="005C2A18" w:rsidRDefault="00854A6E" w:rsidP="00854A6E">
            <w:pPr>
              <w:ind w:left="139"/>
              <w:jc w:val="both"/>
              <w:textAlignment w:val="baseline"/>
              <w:rPr>
                <w:rFonts w:ascii="Calibri" w:eastAsia="Times New Roman" w:hAnsi="Calibri" w:cs="Calibri"/>
                <w:sz w:val="18"/>
                <w:szCs w:val="18"/>
                <w:lang w:eastAsia="en-GB"/>
              </w:rPr>
            </w:pPr>
            <w:r>
              <w:rPr>
                <w:rFonts w:ascii="Calibri" w:eastAsia="Times New Roman" w:hAnsi="Calibri" w:cs="Calibri"/>
                <w:sz w:val="18"/>
                <w:szCs w:val="18"/>
                <w:lang w:eastAsia="en-GB"/>
              </w:rPr>
              <w:t>C. Murray-Lyon</w:t>
            </w:r>
          </w:p>
        </w:tc>
        <w:tc>
          <w:tcPr>
            <w:tcW w:w="3098" w:type="dxa"/>
            <w:tcBorders>
              <w:top w:val="single" w:sz="6" w:space="0" w:color="auto"/>
              <w:left w:val="single" w:sz="6" w:space="0" w:color="auto"/>
              <w:bottom w:val="single" w:sz="6" w:space="0" w:color="auto"/>
              <w:right w:val="single" w:sz="6" w:space="0" w:color="auto"/>
            </w:tcBorders>
            <w:shd w:val="clear" w:color="auto" w:fill="auto"/>
          </w:tcPr>
          <w:p w14:paraId="4B22F019" w14:textId="2DCC3FD5" w:rsidR="005C2A18" w:rsidRDefault="00854A6E" w:rsidP="00854A6E">
            <w:pPr>
              <w:ind w:left="29"/>
              <w:jc w:val="both"/>
              <w:textAlignment w:val="baseline"/>
              <w:rPr>
                <w:rFonts w:ascii="Calibri" w:eastAsia="Times New Roman" w:hAnsi="Calibri" w:cs="Calibri"/>
                <w:sz w:val="18"/>
                <w:szCs w:val="18"/>
                <w:lang w:eastAsia="en-GB"/>
              </w:rPr>
            </w:pPr>
            <w:r>
              <w:rPr>
                <w:rFonts w:ascii="Calibri" w:eastAsia="Times New Roman" w:hAnsi="Calibri" w:cs="Calibri"/>
                <w:sz w:val="18"/>
                <w:szCs w:val="18"/>
                <w:lang w:eastAsia="en-GB"/>
              </w:rPr>
              <w:t>Approved by TMT 06.11.24</w:t>
            </w:r>
          </w:p>
        </w:tc>
      </w:tr>
    </w:tbl>
    <w:p w14:paraId="55D7E714" w14:textId="33CB879A" w:rsidR="00B246FF" w:rsidRPr="00F0166B" w:rsidRDefault="00B246FF" w:rsidP="006843D1">
      <w:pPr>
        <w:pStyle w:val="Level1"/>
        <w:numPr>
          <w:ilvl w:val="0"/>
          <w:numId w:val="0"/>
        </w:numPr>
        <w:ind w:left="567" w:hanging="567"/>
      </w:pPr>
    </w:p>
    <w:sectPr w:rsidR="00B246FF" w:rsidRPr="00F0166B" w:rsidSect="006843D1">
      <w:headerReference w:type="default" r:id="rId15"/>
      <w:foot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99893" w14:textId="77777777" w:rsidR="00276E9A" w:rsidRDefault="00276E9A" w:rsidP="00B246FF">
      <w:r>
        <w:separator/>
      </w:r>
    </w:p>
    <w:p w14:paraId="769EF400" w14:textId="77777777" w:rsidR="00276E9A" w:rsidRDefault="00276E9A"/>
  </w:endnote>
  <w:endnote w:type="continuationSeparator" w:id="0">
    <w:p w14:paraId="62F0A7E5" w14:textId="77777777" w:rsidR="00276E9A" w:rsidRDefault="00276E9A" w:rsidP="00B246FF">
      <w:r>
        <w:continuationSeparator/>
      </w:r>
    </w:p>
    <w:p w14:paraId="4565ED55" w14:textId="77777777" w:rsidR="00276E9A" w:rsidRDefault="00276E9A"/>
  </w:endnote>
  <w:endnote w:type="continuationNotice" w:id="1">
    <w:p w14:paraId="51502527" w14:textId="77777777" w:rsidR="00276E9A" w:rsidRDefault="00276E9A"/>
    <w:p w14:paraId="0AAE18D2" w14:textId="77777777" w:rsidR="00276E9A" w:rsidRDefault="00276E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CenturySchlbk">
    <w:altName w:val="Century Schoolbook"/>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A7331" w14:textId="2DCC4F5A" w:rsidR="00B246FF" w:rsidRPr="006843D1" w:rsidRDefault="00B246FF" w:rsidP="00B246FF">
    <w:pPr>
      <w:pStyle w:val="Footer"/>
      <w:jc w:val="center"/>
      <w:rPr>
        <w:rFonts w:ascii="Calibri" w:hAnsi="Calibri"/>
        <w:sz w:val="18"/>
      </w:rPr>
    </w:pPr>
    <w:r w:rsidRPr="006843D1">
      <w:rPr>
        <w:rFonts w:ascii="Calibri" w:hAnsi="Calibri"/>
        <w:sz w:val="18"/>
      </w:rPr>
      <w:t xml:space="preserve">Page </w:t>
    </w:r>
    <w:r w:rsidRPr="006843D1">
      <w:rPr>
        <w:rFonts w:ascii="Calibri" w:hAnsi="Calibri"/>
        <w:sz w:val="18"/>
      </w:rPr>
      <w:fldChar w:fldCharType="begin"/>
    </w:r>
    <w:r w:rsidRPr="00B246FF">
      <w:rPr>
        <w:rFonts w:ascii="Calibri" w:hAnsi="Calibri" w:cs="Calibri"/>
        <w:sz w:val="18"/>
        <w:szCs w:val="18"/>
      </w:rPr>
      <w:instrText xml:space="preserve"> PAGE </w:instrText>
    </w:r>
    <w:r w:rsidRPr="006843D1">
      <w:rPr>
        <w:rFonts w:ascii="Calibri" w:hAnsi="Calibri"/>
        <w:sz w:val="18"/>
      </w:rPr>
      <w:fldChar w:fldCharType="separate"/>
    </w:r>
    <w:r w:rsidRPr="00B246FF">
      <w:rPr>
        <w:rFonts w:ascii="Calibri" w:hAnsi="Calibri" w:cs="Calibri"/>
        <w:noProof/>
        <w:sz w:val="18"/>
        <w:szCs w:val="18"/>
      </w:rPr>
      <w:t>1</w:t>
    </w:r>
    <w:r w:rsidRPr="006843D1">
      <w:rPr>
        <w:rFonts w:ascii="Calibri" w:hAnsi="Calibri"/>
        <w:sz w:val="18"/>
      </w:rPr>
      <w:fldChar w:fldCharType="end"/>
    </w:r>
    <w:r w:rsidRPr="006843D1">
      <w:rPr>
        <w:rFonts w:ascii="Calibri" w:hAnsi="Calibri"/>
        <w:sz w:val="18"/>
      </w:rPr>
      <w:t xml:space="preserve"> of </w:t>
    </w:r>
    <w:r w:rsidRPr="006843D1">
      <w:rPr>
        <w:rFonts w:ascii="Calibri" w:hAnsi="Calibri"/>
        <w:sz w:val="18"/>
      </w:rPr>
      <w:fldChar w:fldCharType="begin"/>
    </w:r>
    <w:r w:rsidRPr="00B246FF">
      <w:rPr>
        <w:rFonts w:ascii="Calibri" w:hAnsi="Calibri" w:cs="Calibri"/>
        <w:sz w:val="18"/>
        <w:szCs w:val="18"/>
      </w:rPr>
      <w:instrText xml:space="preserve"> NUMPAGES </w:instrText>
    </w:r>
    <w:r w:rsidRPr="006843D1">
      <w:rPr>
        <w:rFonts w:ascii="Calibri" w:hAnsi="Calibri"/>
        <w:sz w:val="18"/>
      </w:rPr>
      <w:fldChar w:fldCharType="separate"/>
    </w:r>
    <w:r w:rsidRPr="006843D1">
      <w:rPr>
        <w:rFonts w:ascii="Calibri" w:hAnsi="Calibri"/>
        <w:sz w:val="18"/>
      </w:rPr>
      <w:t>2</w:t>
    </w:r>
    <w:r w:rsidRPr="006843D1">
      <w:rPr>
        <w:rFonts w:ascii="Calibri" w:hAnsi="Calibr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C561D" w14:textId="05DE2777" w:rsidR="006843D1" w:rsidRPr="006843D1" w:rsidRDefault="006843D1" w:rsidP="006843D1">
    <w:pPr>
      <w:pStyle w:val="Footer"/>
      <w:jc w:val="center"/>
      <w:rPr>
        <w:rFonts w:ascii="Calibri" w:hAnsi="Calibri" w:cs="Calibri"/>
        <w:sz w:val="18"/>
        <w:szCs w:val="18"/>
      </w:rPr>
    </w:pPr>
    <w:r w:rsidRPr="006843D1">
      <w:rPr>
        <w:rFonts w:ascii="Calibri" w:hAnsi="Calibri" w:cs="Calibri"/>
        <w:sz w:val="18"/>
        <w:szCs w:val="18"/>
      </w:rPr>
      <w:t xml:space="preserve">Page </w:t>
    </w:r>
    <w:r w:rsidRPr="006843D1">
      <w:rPr>
        <w:rFonts w:ascii="Calibri" w:hAnsi="Calibri" w:cs="Calibri"/>
        <w:sz w:val="18"/>
        <w:szCs w:val="18"/>
      </w:rPr>
      <w:fldChar w:fldCharType="begin"/>
    </w:r>
    <w:r w:rsidRPr="006843D1">
      <w:rPr>
        <w:rFonts w:ascii="Calibri" w:hAnsi="Calibri" w:cs="Calibri"/>
        <w:sz w:val="18"/>
        <w:szCs w:val="18"/>
      </w:rPr>
      <w:instrText xml:space="preserve"> PAGE </w:instrText>
    </w:r>
    <w:r w:rsidRPr="006843D1">
      <w:rPr>
        <w:rFonts w:ascii="Calibri" w:hAnsi="Calibri" w:cs="Calibri"/>
        <w:sz w:val="18"/>
        <w:szCs w:val="18"/>
      </w:rPr>
      <w:fldChar w:fldCharType="separate"/>
    </w:r>
    <w:r w:rsidRPr="006843D1">
      <w:rPr>
        <w:rFonts w:ascii="Calibri" w:hAnsi="Calibri" w:cs="Calibri"/>
        <w:noProof/>
        <w:sz w:val="18"/>
        <w:szCs w:val="18"/>
      </w:rPr>
      <w:t>2</w:t>
    </w:r>
    <w:r w:rsidRPr="006843D1">
      <w:rPr>
        <w:rFonts w:ascii="Calibri" w:hAnsi="Calibri" w:cs="Calibri"/>
        <w:sz w:val="18"/>
        <w:szCs w:val="18"/>
      </w:rPr>
      <w:fldChar w:fldCharType="end"/>
    </w:r>
    <w:r w:rsidRPr="006843D1">
      <w:rPr>
        <w:rFonts w:ascii="Calibri" w:hAnsi="Calibri" w:cs="Calibri"/>
        <w:sz w:val="18"/>
        <w:szCs w:val="18"/>
      </w:rPr>
      <w:t xml:space="preserve"> of </w:t>
    </w:r>
    <w:r w:rsidRPr="006843D1">
      <w:rPr>
        <w:rFonts w:ascii="Calibri" w:hAnsi="Calibri" w:cs="Calibri"/>
        <w:sz w:val="18"/>
        <w:szCs w:val="18"/>
      </w:rPr>
      <w:fldChar w:fldCharType="begin"/>
    </w:r>
    <w:r w:rsidRPr="006843D1">
      <w:rPr>
        <w:rFonts w:ascii="Calibri" w:hAnsi="Calibri" w:cs="Calibri"/>
        <w:sz w:val="18"/>
        <w:szCs w:val="18"/>
      </w:rPr>
      <w:instrText xml:space="preserve"> NUMPAGES </w:instrText>
    </w:r>
    <w:r w:rsidRPr="006843D1">
      <w:rPr>
        <w:rFonts w:ascii="Calibri" w:hAnsi="Calibri" w:cs="Calibri"/>
        <w:sz w:val="18"/>
        <w:szCs w:val="18"/>
      </w:rPr>
      <w:fldChar w:fldCharType="separate"/>
    </w:r>
    <w:r w:rsidRPr="006843D1">
      <w:rPr>
        <w:rFonts w:ascii="Calibri" w:hAnsi="Calibri" w:cs="Calibri"/>
        <w:noProof/>
        <w:sz w:val="18"/>
        <w:szCs w:val="18"/>
      </w:rPr>
      <w:t>2</w:t>
    </w:r>
    <w:r w:rsidRPr="006843D1">
      <w:rPr>
        <w:rFonts w:ascii="Calibri" w:hAnsi="Calibri"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AA79E" w14:textId="77777777" w:rsidR="00276E9A" w:rsidRDefault="00276E9A" w:rsidP="00B246FF">
      <w:r>
        <w:separator/>
      </w:r>
    </w:p>
    <w:p w14:paraId="2B0D39BB" w14:textId="77777777" w:rsidR="00276E9A" w:rsidRDefault="00276E9A"/>
  </w:footnote>
  <w:footnote w:type="continuationSeparator" w:id="0">
    <w:p w14:paraId="214C64D6" w14:textId="77777777" w:rsidR="00276E9A" w:rsidRDefault="00276E9A" w:rsidP="00B246FF">
      <w:r>
        <w:continuationSeparator/>
      </w:r>
    </w:p>
    <w:p w14:paraId="0AC53312" w14:textId="77777777" w:rsidR="00276E9A" w:rsidRDefault="00276E9A"/>
  </w:footnote>
  <w:footnote w:type="continuationNotice" w:id="1">
    <w:p w14:paraId="53E0661F" w14:textId="77777777" w:rsidR="00276E9A" w:rsidRDefault="00276E9A"/>
    <w:p w14:paraId="62BA8FA6" w14:textId="77777777" w:rsidR="00276E9A" w:rsidRDefault="00276E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488EB" w14:textId="531E6711" w:rsidR="0084608C" w:rsidRPr="00BA1DD1" w:rsidRDefault="0084608C" w:rsidP="0084608C">
    <w:pPr>
      <w:pStyle w:val="Header"/>
      <w:rPr>
        <w:rFonts w:asciiTheme="majorHAnsi" w:hAnsiTheme="majorHAnsi"/>
        <w:sz w:val="18"/>
        <w:szCs w:val="18"/>
      </w:rPr>
    </w:pPr>
    <w:r>
      <w:rPr>
        <w:rFonts w:ascii="Calibri" w:hAnsi="Calibri" w:cs="Calibri"/>
        <w:noProof/>
        <w:sz w:val="18"/>
        <w:szCs w:val="18"/>
        <w:lang w:eastAsia="en-GB"/>
      </w:rPr>
      <w:t>Customer Complaints Policy</w:t>
    </w:r>
    <w:r>
      <w:rPr>
        <w:rFonts w:asciiTheme="majorHAnsi" w:hAnsiTheme="majorHAnsi"/>
        <w:noProof/>
        <w:sz w:val="18"/>
        <w:szCs w:val="18"/>
        <w:lang w:eastAsia="en-GB"/>
      </w:rPr>
      <w:t xml:space="preserve"> (v3.</w:t>
    </w:r>
    <w:r w:rsidR="00C93678">
      <w:rPr>
        <w:rFonts w:asciiTheme="majorHAnsi" w:hAnsiTheme="majorHAnsi"/>
        <w:noProof/>
        <w:sz w:val="18"/>
        <w:szCs w:val="18"/>
        <w:lang w:eastAsia="en-GB"/>
      </w:rPr>
      <w:t>4</w:t>
    </w:r>
    <w:r w:rsidRPr="00BA1DD1">
      <w:rPr>
        <w:rFonts w:asciiTheme="majorHAnsi" w:hAnsiTheme="majorHAnsi"/>
        <w:noProof/>
        <w:sz w:val="18"/>
        <w:szCs w:val="18"/>
        <w:lang w:eastAsia="en-GB"/>
      </w:rPr>
      <w:t>)</w:t>
    </w:r>
  </w:p>
  <w:p w14:paraId="4C656F3F" w14:textId="734785C2" w:rsidR="0084608C" w:rsidRPr="006843D1" w:rsidRDefault="0084608C" w:rsidP="0084608C">
    <w:pPr>
      <w:pStyle w:val="Header"/>
      <w:rPr>
        <w:rFonts w:asciiTheme="majorHAnsi" w:hAnsiTheme="majorHAnsi"/>
        <w:sz w:val="18"/>
      </w:rPr>
    </w:pPr>
    <w:r>
      <w:rPr>
        <w:rFonts w:asciiTheme="majorHAnsi" w:hAnsiTheme="majorHAnsi"/>
        <w:sz w:val="18"/>
        <w:szCs w:val="18"/>
      </w:rPr>
      <w:t xml:space="preserve">Approved by TMT on </w:t>
    </w:r>
    <w:r w:rsidR="00C93678">
      <w:rPr>
        <w:rFonts w:asciiTheme="majorHAnsi" w:hAnsiTheme="majorHAnsi"/>
        <w:sz w:val="18"/>
        <w:szCs w:val="18"/>
      </w:rPr>
      <w:t>6 November 2024</w:t>
    </w:r>
  </w:p>
  <w:p w14:paraId="35872324" w14:textId="69AE63E4" w:rsidR="207D4A7F" w:rsidRDefault="207D4A7F" w:rsidP="207D4A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E188C" w14:textId="38EEDD99" w:rsidR="00092573" w:rsidRPr="00BA1DD1" w:rsidRDefault="006843D1" w:rsidP="00092573">
    <w:pPr>
      <w:pStyle w:val="Header"/>
      <w:rPr>
        <w:rFonts w:asciiTheme="majorHAnsi" w:hAnsiTheme="majorHAnsi"/>
        <w:sz w:val="18"/>
        <w:szCs w:val="18"/>
      </w:rPr>
    </w:pPr>
    <w:r w:rsidRPr="00EC798D">
      <w:rPr>
        <w:rFonts w:ascii="Calibri" w:hAnsi="Calibri" w:cs="Calibri"/>
        <w:noProof/>
        <w:sz w:val="18"/>
        <w:szCs w:val="18"/>
        <w:lang w:eastAsia="en-GB"/>
      </w:rPr>
      <w:drawing>
        <wp:anchor distT="0" distB="0" distL="114300" distR="114300" simplePos="0" relativeHeight="251658240" behindDoc="0" locked="0" layoutInCell="1" allowOverlap="1" wp14:anchorId="2C30B7B5" wp14:editId="640474D1">
          <wp:simplePos x="0" y="0"/>
          <wp:positionH relativeFrom="margin">
            <wp:posOffset>4346223</wp:posOffset>
          </wp:positionH>
          <wp:positionV relativeFrom="margin">
            <wp:posOffset>-622935</wp:posOffset>
          </wp:positionV>
          <wp:extent cx="1480820" cy="754380"/>
          <wp:effectExtent l="0" t="0" r="5080" b="7620"/>
          <wp:wrapSquare wrapText="bothSides"/>
          <wp:docPr id="2" name="Picture 2" descr="C:\Users\awhitty\Desktop\Logos For Anna\Logos with strap\ECT Charity\ECT_Charity_FullColou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whitty\Desktop\Logos For Anna\Logos with strap\ECT Charity\ECT_Charity_FullColour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0820" cy="754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2573" w:rsidRPr="00092573">
      <w:rPr>
        <w:rFonts w:ascii="Calibri" w:hAnsi="Calibri" w:cs="Calibri"/>
        <w:noProof/>
        <w:sz w:val="18"/>
        <w:szCs w:val="18"/>
        <w:lang w:eastAsia="en-GB"/>
      </w:rPr>
      <w:t xml:space="preserve"> </w:t>
    </w:r>
    <w:r w:rsidR="00092573">
      <w:rPr>
        <w:rFonts w:ascii="Calibri" w:hAnsi="Calibri" w:cs="Calibri"/>
        <w:noProof/>
        <w:sz w:val="18"/>
        <w:szCs w:val="18"/>
        <w:lang w:eastAsia="en-GB"/>
      </w:rPr>
      <w:t>Customer Complaints Policy</w:t>
    </w:r>
    <w:r w:rsidR="00092573">
      <w:rPr>
        <w:rFonts w:asciiTheme="majorHAnsi" w:hAnsiTheme="majorHAnsi"/>
        <w:noProof/>
        <w:sz w:val="18"/>
        <w:szCs w:val="18"/>
        <w:lang w:eastAsia="en-GB"/>
      </w:rPr>
      <w:t xml:space="preserve"> (v</w:t>
    </w:r>
    <w:r w:rsidR="00C93678">
      <w:rPr>
        <w:rFonts w:asciiTheme="majorHAnsi" w:hAnsiTheme="majorHAnsi"/>
        <w:noProof/>
        <w:sz w:val="18"/>
        <w:szCs w:val="18"/>
        <w:lang w:eastAsia="en-GB"/>
      </w:rPr>
      <w:t>3.4</w:t>
    </w:r>
    <w:r w:rsidR="00092573" w:rsidRPr="00BA1DD1">
      <w:rPr>
        <w:rFonts w:asciiTheme="majorHAnsi" w:hAnsiTheme="majorHAnsi"/>
        <w:noProof/>
        <w:sz w:val="18"/>
        <w:szCs w:val="18"/>
        <w:lang w:eastAsia="en-GB"/>
      </w:rPr>
      <w:t>)</w:t>
    </w:r>
  </w:p>
  <w:p w14:paraId="7CCC07C7" w14:textId="3EB800FC" w:rsidR="00092573" w:rsidRPr="006843D1" w:rsidRDefault="00092573" w:rsidP="00092573">
    <w:pPr>
      <w:pStyle w:val="Header"/>
      <w:rPr>
        <w:rFonts w:asciiTheme="majorHAnsi" w:hAnsiTheme="majorHAnsi"/>
        <w:sz w:val="18"/>
      </w:rPr>
    </w:pPr>
    <w:r>
      <w:rPr>
        <w:rFonts w:asciiTheme="majorHAnsi" w:hAnsiTheme="majorHAnsi"/>
        <w:sz w:val="18"/>
        <w:szCs w:val="18"/>
      </w:rPr>
      <w:t xml:space="preserve">Approved by TMT on </w:t>
    </w:r>
    <w:r w:rsidR="005C2A18">
      <w:rPr>
        <w:rFonts w:asciiTheme="majorHAnsi" w:hAnsiTheme="majorHAnsi"/>
        <w:sz w:val="18"/>
        <w:szCs w:val="18"/>
      </w:rPr>
      <w:t>6 Nov 2024</w:t>
    </w:r>
  </w:p>
  <w:p w14:paraId="57ACD6FB" w14:textId="70468541" w:rsidR="00E64C67" w:rsidRPr="006843D1" w:rsidRDefault="00E64C67">
    <w:pPr>
      <w:pStyle w:val="Header"/>
      <w:rPr>
        <w:rFonts w:asciiTheme="majorHAnsi" w:hAnsiTheme="maj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17211"/>
    <w:multiLevelType w:val="multilevel"/>
    <w:tmpl w:val="1FD0C49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4C71561"/>
    <w:multiLevelType w:val="hybridMultilevel"/>
    <w:tmpl w:val="3E96500A"/>
    <w:lvl w:ilvl="0" w:tplc="1FD6A91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C508DC"/>
    <w:multiLevelType w:val="multilevel"/>
    <w:tmpl w:val="77A8FB42"/>
    <w:lvl w:ilvl="0">
      <w:start w:val="1"/>
      <w:numFmt w:val="decimal"/>
      <w:lvlText w:val="%1."/>
      <w:lvlJc w:val="left"/>
      <w:pPr>
        <w:ind w:left="360" w:hanging="360"/>
      </w:pPr>
    </w:lvl>
    <w:lvl w:ilvl="1">
      <w:start w:val="1"/>
      <w:numFmt w:val="decimal"/>
      <w:lvlText w:val="%1.%2."/>
      <w:lvlJc w:val="left"/>
      <w:pPr>
        <w:ind w:left="792" w:hanging="432"/>
      </w:pPr>
      <w:rPr>
        <w:i w:val="0"/>
        <w:color w:val="000000" w:themeColor="text1"/>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5F82B17"/>
    <w:multiLevelType w:val="multilevel"/>
    <w:tmpl w:val="F03CBF5E"/>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C832BE3"/>
    <w:multiLevelType w:val="multilevel"/>
    <w:tmpl w:val="8BAE3A50"/>
    <w:lvl w:ilvl="0">
      <w:start w:val="1"/>
      <w:numFmt w:val="decimal"/>
      <w:pStyle w:val="Level1"/>
      <w:lvlText w:val="%1."/>
      <w:lvlJc w:val="left"/>
      <w:pPr>
        <w:ind w:left="360" w:hanging="360"/>
      </w:pPr>
    </w:lvl>
    <w:lvl w:ilvl="1">
      <w:start w:val="1"/>
      <w:numFmt w:val="decimal"/>
      <w:pStyle w:val="level2list"/>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EBA2715"/>
    <w:multiLevelType w:val="multilevel"/>
    <w:tmpl w:val="FEB86D36"/>
    <w:lvl w:ilvl="0">
      <w:start w:val="1"/>
      <w:numFmt w:val="decimal"/>
      <w:pStyle w:val="CML1"/>
      <w:lvlText w:val="%1."/>
      <w:lvlJc w:val="left"/>
      <w:pPr>
        <w:ind w:left="360" w:hanging="360"/>
      </w:pPr>
    </w:lvl>
    <w:lvl w:ilvl="1">
      <w:start w:val="1"/>
      <w:numFmt w:val="decimal"/>
      <w:pStyle w:val="CML2"/>
      <w:lvlText w:val="%1.%2."/>
      <w:lvlJc w:val="left"/>
      <w:pPr>
        <w:ind w:left="71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A74196B"/>
    <w:multiLevelType w:val="hybridMultilevel"/>
    <w:tmpl w:val="BD32CEE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C7501A"/>
    <w:multiLevelType w:val="hybridMultilevel"/>
    <w:tmpl w:val="30D82E84"/>
    <w:lvl w:ilvl="0" w:tplc="D5BE5230">
      <w:start w:val="1"/>
      <w:numFmt w:val="bullet"/>
      <w:pStyle w:val="CML3"/>
      <w:lvlText w:val=""/>
      <w:lvlJc w:val="left"/>
      <w:pPr>
        <w:ind w:left="720" w:hanging="360"/>
      </w:pPr>
      <w:rPr>
        <w:rFonts w:ascii="Symbol" w:hAnsi="Symbol" w:hint="default"/>
      </w:rPr>
    </w:lvl>
    <w:lvl w:ilvl="1" w:tplc="1FCC15F2">
      <w:start w:val="1"/>
      <w:numFmt w:val="bullet"/>
      <w:pStyle w:val="CML4"/>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8559150">
    <w:abstractNumId w:val="4"/>
  </w:num>
  <w:num w:numId="2" w16cid:durableId="1501583538">
    <w:abstractNumId w:val="4"/>
  </w:num>
  <w:num w:numId="3" w16cid:durableId="395709997">
    <w:abstractNumId w:val="4"/>
  </w:num>
  <w:num w:numId="4" w16cid:durableId="1823619546">
    <w:abstractNumId w:val="4"/>
  </w:num>
  <w:num w:numId="5" w16cid:durableId="1286160381">
    <w:abstractNumId w:val="4"/>
  </w:num>
  <w:num w:numId="6" w16cid:durableId="521019761">
    <w:abstractNumId w:val="4"/>
  </w:num>
  <w:num w:numId="7" w16cid:durableId="1790515263">
    <w:abstractNumId w:val="4"/>
  </w:num>
  <w:num w:numId="8" w16cid:durableId="1241791631">
    <w:abstractNumId w:val="4"/>
  </w:num>
  <w:num w:numId="9" w16cid:durableId="1169439644">
    <w:abstractNumId w:val="0"/>
  </w:num>
  <w:num w:numId="10" w16cid:durableId="1303585183">
    <w:abstractNumId w:val="3"/>
  </w:num>
  <w:num w:numId="11" w16cid:durableId="2093432332">
    <w:abstractNumId w:val="4"/>
  </w:num>
  <w:num w:numId="12" w16cid:durableId="1754424919">
    <w:abstractNumId w:val="4"/>
  </w:num>
  <w:num w:numId="13" w16cid:durableId="470710383">
    <w:abstractNumId w:val="4"/>
  </w:num>
  <w:num w:numId="14" w16cid:durableId="1823962909">
    <w:abstractNumId w:val="4"/>
  </w:num>
  <w:num w:numId="15" w16cid:durableId="1197232185">
    <w:abstractNumId w:val="4"/>
  </w:num>
  <w:num w:numId="16" w16cid:durableId="1686396395">
    <w:abstractNumId w:val="4"/>
  </w:num>
  <w:num w:numId="17" w16cid:durableId="43650192">
    <w:abstractNumId w:val="4"/>
  </w:num>
  <w:num w:numId="18" w16cid:durableId="531958209">
    <w:abstractNumId w:val="4"/>
  </w:num>
  <w:num w:numId="19" w16cid:durableId="1625888968">
    <w:abstractNumId w:val="4"/>
  </w:num>
  <w:num w:numId="20" w16cid:durableId="1798135335">
    <w:abstractNumId w:val="4"/>
  </w:num>
  <w:num w:numId="21" w16cid:durableId="108399762">
    <w:abstractNumId w:val="4"/>
  </w:num>
  <w:num w:numId="22" w16cid:durableId="1892306337">
    <w:abstractNumId w:val="5"/>
  </w:num>
  <w:num w:numId="23" w16cid:durableId="1279023719">
    <w:abstractNumId w:val="7"/>
  </w:num>
  <w:num w:numId="24" w16cid:durableId="1680892650">
    <w:abstractNumId w:val="6"/>
  </w:num>
  <w:num w:numId="25" w16cid:durableId="16649680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130612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97224145">
    <w:abstractNumId w:val="2"/>
  </w:num>
  <w:num w:numId="28" w16cid:durableId="1431049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proofState w:spelling="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66B"/>
    <w:rsid w:val="00030ABF"/>
    <w:rsid w:val="00041E9A"/>
    <w:rsid w:val="00054259"/>
    <w:rsid w:val="000555B2"/>
    <w:rsid w:val="00071176"/>
    <w:rsid w:val="00073110"/>
    <w:rsid w:val="00085435"/>
    <w:rsid w:val="00091BA1"/>
    <w:rsid w:val="00092573"/>
    <w:rsid w:val="000D2D03"/>
    <w:rsid w:val="000D50C2"/>
    <w:rsid w:val="000E362F"/>
    <w:rsid w:val="000E3E69"/>
    <w:rsid w:val="001227F0"/>
    <w:rsid w:val="001314BB"/>
    <w:rsid w:val="0013207C"/>
    <w:rsid w:val="00170A2B"/>
    <w:rsid w:val="001A2B1C"/>
    <w:rsid w:val="001B21FC"/>
    <w:rsid w:val="001D7C58"/>
    <w:rsid w:val="002034B3"/>
    <w:rsid w:val="00215744"/>
    <w:rsid w:val="00242F1E"/>
    <w:rsid w:val="00247F68"/>
    <w:rsid w:val="00276E9A"/>
    <w:rsid w:val="00281773"/>
    <w:rsid w:val="00282D5F"/>
    <w:rsid w:val="002900EB"/>
    <w:rsid w:val="002A16B5"/>
    <w:rsid w:val="002A4CEE"/>
    <w:rsid w:val="002B4FF7"/>
    <w:rsid w:val="002C6D24"/>
    <w:rsid w:val="002F4220"/>
    <w:rsid w:val="00305246"/>
    <w:rsid w:val="00305DA7"/>
    <w:rsid w:val="003106B8"/>
    <w:rsid w:val="00342CA8"/>
    <w:rsid w:val="003460AC"/>
    <w:rsid w:val="00357EFD"/>
    <w:rsid w:val="003605A5"/>
    <w:rsid w:val="00373AA2"/>
    <w:rsid w:val="003848A1"/>
    <w:rsid w:val="003A6EE9"/>
    <w:rsid w:val="003B33A2"/>
    <w:rsid w:val="00400750"/>
    <w:rsid w:val="0040658E"/>
    <w:rsid w:val="00406680"/>
    <w:rsid w:val="00416196"/>
    <w:rsid w:val="0043307C"/>
    <w:rsid w:val="00436921"/>
    <w:rsid w:val="0045689A"/>
    <w:rsid w:val="00462A7D"/>
    <w:rsid w:val="00477116"/>
    <w:rsid w:val="004B35DD"/>
    <w:rsid w:val="004B6AD9"/>
    <w:rsid w:val="004B75C7"/>
    <w:rsid w:val="004C40A6"/>
    <w:rsid w:val="004D16CD"/>
    <w:rsid w:val="004E1B84"/>
    <w:rsid w:val="00510EB5"/>
    <w:rsid w:val="005177D7"/>
    <w:rsid w:val="0053006D"/>
    <w:rsid w:val="005314D0"/>
    <w:rsid w:val="00543DA1"/>
    <w:rsid w:val="0055384B"/>
    <w:rsid w:val="00565E46"/>
    <w:rsid w:val="005770E6"/>
    <w:rsid w:val="00590E11"/>
    <w:rsid w:val="005A1047"/>
    <w:rsid w:val="005B4300"/>
    <w:rsid w:val="005B57EA"/>
    <w:rsid w:val="005B7B2A"/>
    <w:rsid w:val="005C2A18"/>
    <w:rsid w:val="005C2ABA"/>
    <w:rsid w:val="005C56B7"/>
    <w:rsid w:val="005C7221"/>
    <w:rsid w:val="005D0550"/>
    <w:rsid w:val="005E52A7"/>
    <w:rsid w:val="00622B72"/>
    <w:rsid w:val="00645BAA"/>
    <w:rsid w:val="006514A0"/>
    <w:rsid w:val="0065637B"/>
    <w:rsid w:val="00661482"/>
    <w:rsid w:val="006843D1"/>
    <w:rsid w:val="006A1021"/>
    <w:rsid w:val="006A52FD"/>
    <w:rsid w:val="006D51DA"/>
    <w:rsid w:val="006E135E"/>
    <w:rsid w:val="006E60B8"/>
    <w:rsid w:val="0071267E"/>
    <w:rsid w:val="0073544C"/>
    <w:rsid w:val="00744610"/>
    <w:rsid w:val="0075096C"/>
    <w:rsid w:val="00751E4B"/>
    <w:rsid w:val="00756B60"/>
    <w:rsid w:val="00776BB2"/>
    <w:rsid w:val="00796066"/>
    <w:rsid w:val="007B36F8"/>
    <w:rsid w:val="007B4566"/>
    <w:rsid w:val="007B6D91"/>
    <w:rsid w:val="007F10A5"/>
    <w:rsid w:val="00807BCD"/>
    <w:rsid w:val="00816E2D"/>
    <w:rsid w:val="008259BF"/>
    <w:rsid w:val="00826E20"/>
    <w:rsid w:val="00833920"/>
    <w:rsid w:val="0084608C"/>
    <w:rsid w:val="00851141"/>
    <w:rsid w:val="00854560"/>
    <w:rsid w:val="00854A6E"/>
    <w:rsid w:val="00856EB4"/>
    <w:rsid w:val="00865483"/>
    <w:rsid w:val="008768AA"/>
    <w:rsid w:val="00890381"/>
    <w:rsid w:val="008B616C"/>
    <w:rsid w:val="008C3543"/>
    <w:rsid w:val="008D4DFC"/>
    <w:rsid w:val="008E409B"/>
    <w:rsid w:val="008E6B17"/>
    <w:rsid w:val="0093107D"/>
    <w:rsid w:val="0095358E"/>
    <w:rsid w:val="00954290"/>
    <w:rsid w:val="009545E0"/>
    <w:rsid w:val="0095649B"/>
    <w:rsid w:val="00962CBD"/>
    <w:rsid w:val="0096599A"/>
    <w:rsid w:val="0097383C"/>
    <w:rsid w:val="00985BA9"/>
    <w:rsid w:val="00994265"/>
    <w:rsid w:val="009A290B"/>
    <w:rsid w:val="009B49D9"/>
    <w:rsid w:val="009B790E"/>
    <w:rsid w:val="009D1AD9"/>
    <w:rsid w:val="009E6816"/>
    <w:rsid w:val="00A11DDA"/>
    <w:rsid w:val="00A325B9"/>
    <w:rsid w:val="00A40AAC"/>
    <w:rsid w:val="00A56263"/>
    <w:rsid w:val="00A7099D"/>
    <w:rsid w:val="00A730E3"/>
    <w:rsid w:val="00AA1EE7"/>
    <w:rsid w:val="00AA68DF"/>
    <w:rsid w:val="00AC1432"/>
    <w:rsid w:val="00AC30B1"/>
    <w:rsid w:val="00AD053C"/>
    <w:rsid w:val="00AE0AE6"/>
    <w:rsid w:val="00AE674C"/>
    <w:rsid w:val="00B127B1"/>
    <w:rsid w:val="00B15C73"/>
    <w:rsid w:val="00B246FF"/>
    <w:rsid w:val="00B40613"/>
    <w:rsid w:val="00B430A9"/>
    <w:rsid w:val="00B5104F"/>
    <w:rsid w:val="00B607FE"/>
    <w:rsid w:val="00B65CDB"/>
    <w:rsid w:val="00B80F67"/>
    <w:rsid w:val="00B87B63"/>
    <w:rsid w:val="00B92D0A"/>
    <w:rsid w:val="00BB4892"/>
    <w:rsid w:val="00BB7AFC"/>
    <w:rsid w:val="00BD6041"/>
    <w:rsid w:val="00BE1668"/>
    <w:rsid w:val="00BE2CF1"/>
    <w:rsid w:val="00C03A42"/>
    <w:rsid w:val="00C04D19"/>
    <w:rsid w:val="00C15C50"/>
    <w:rsid w:val="00C16B65"/>
    <w:rsid w:val="00C320DC"/>
    <w:rsid w:val="00C35F1D"/>
    <w:rsid w:val="00C36CBC"/>
    <w:rsid w:val="00C40E3F"/>
    <w:rsid w:val="00C42F13"/>
    <w:rsid w:val="00C449A5"/>
    <w:rsid w:val="00C57E44"/>
    <w:rsid w:val="00C9038F"/>
    <w:rsid w:val="00C93678"/>
    <w:rsid w:val="00CA110A"/>
    <w:rsid w:val="00CA737C"/>
    <w:rsid w:val="00CC2508"/>
    <w:rsid w:val="00CE15A1"/>
    <w:rsid w:val="00CF32DA"/>
    <w:rsid w:val="00D01619"/>
    <w:rsid w:val="00D03A18"/>
    <w:rsid w:val="00D05F36"/>
    <w:rsid w:val="00D205D0"/>
    <w:rsid w:val="00D6542A"/>
    <w:rsid w:val="00D66A30"/>
    <w:rsid w:val="00D90C2A"/>
    <w:rsid w:val="00DA0F44"/>
    <w:rsid w:val="00DA0FE6"/>
    <w:rsid w:val="00DA4185"/>
    <w:rsid w:val="00DB4B3F"/>
    <w:rsid w:val="00DB51FF"/>
    <w:rsid w:val="00DE19A9"/>
    <w:rsid w:val="00E06D50"/>
    <w:rsid w:val="00E40B69"/>
    <w:rsid w:val="00E41D47"/>
    <w:rsid w:val="00E64C67"/>
    <w:rsid w:val="00E7775F"/>
    <w:rsid w:val="00EA2A08"/>
    <w:rsid w:val="00EA5C8A"/>
    <w:rsid w:val="00EB21A6"/>
    <w:rsid w:val="00EB2B06"/>
    <w:rsid w:val="00EB62C0"/>
    <w:rsid w:val="00EC0903"/>
    <w:rsid w:val="00EC3A42"/>
    <w:rsid w:val="00ED13BA"/>
    <w:rsid w:val="00EE6179"/>
    <w:rsid w:val="00F0166B"/>
    <w:rsid w:val="00F03FC5"/>
    <w:rsid w:val="00F238F5"/>
    <w:rsid w:val="00F25BC9"/>
    <w:rsid w:val="00F26742"/>
    <w:rsid w:val="00F4324C"/>
    <w:rsid w:val="00F46239"/>
    <w:rsid w:val="00F613AF"/>
    <w:rsid w:val="00F61C3A"/>
    <w:rsid w:val="00F64807"/>
    <w:rsid w:val="00F970A3"/>
    <w:rsid w:val="00FC0786"/>
    <w:rsid w:val="00FC3A1B"/>
    <w:rsid w:val="00FD06BD"/>
    <w:rsid w:val="1CDCCDA0"/>
    <w:rsid w:val="207D4A7F"/>
    <w:rsid w:val="6BE735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CC00317"/>
  <w15:chartTrackingRefBased/>
  <w15:docId w15:val="{45979483-1B30-264B-9DEE-4A1311469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C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link w:val="Level1Char"/>
    <w:qFormat/>
    <w:rsid w:val="00E64C67"/>
    <w:pPr>
      <w:numPr>
        <w:numId w:val="1"/>
      </w:numPr>
      <w:spacing w:after="200" w:line="276" w:lineRule="auto"/>
      <w:ind w:left="567" w:hanging="567"/>
      <w:contextualSpacing/>
      <w:jc w:val="both"/>
    </w:pPr>
    <w:rPr>
      <w:rFonts w:ascii="Calibri" w:eastAsia="Calibri" w:hAnsi="Calibri" w:cs="Times New Roman"/>
      <w:b/>
      <w:sz w:val="22"/>
      <w:szCs w:val="22"/>
    </w:rPr>
  </w:style>
  <w:style w:type="character" w:customStyle="1" w:styleId="Level1Char">
    <w:name w:val="Level 1 Char"/>
    <w:link w:val="Level1"/>
    <w:rsid w:val="00B246FF"/>
    <w:rPr>
      <w:rFonts w:ascii="Calibri" w:eastAsia="Calibri" w:hAnsi="Calibri" w:cs="Times New Roman"/>
      <w:b/>
      <w:sz w:val="22"/>
      <w:szCs w:val="22"/>
    </w:rPr>
  </w:style>
  <w:style w:type="paragraph" w:customStyle="1" w:styleId="level2list">
    <w:name w:val="level 2 list"/>
    <w:basedOn w:val="Level1"/>
    <w:qFormat/>
    <w:rsid w:val="00B246FF"/>
    <w:pPr>
      <w:numPr>
        <w:ilvl w:val="1"/>
      </w:numPr>
      <w:ind w:left="567" w:hanging="567"/>
    </w:pPr>
    <w:rPr>
      <w:b w:val="0"/>
      <w:bCs/>
    </w:rPr>
  </w:style>
  <w:style w:type="paragraph" w:customStyle="1" w:styleId="paragraph">
    <w:name w:val="paragraph"/>
    <w:basedOn w:val="Normal"/>
    <w:rsid w:val="00B246FF"/>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B246FF"/>
  </w:style>
  <w:style w:type="character" w:customStyle="1" w:styleId="eop">
    <w:name w:val="eop"/>
    <w:basedOn w:val="DefaultParagraphFont"/>
    <w:rsid w:val="00B246FF"/>
  </w:style>
  <w:style w:type="paragraph" w:styleId="Header">
    <w:name w:val="header"/>
    <w:basedOn w:val="Normal"/>
    <w:link w:val="HeaderChar"/>
    <w:uiPriority w:val="99"/>
    <w:unhideWhenUsed/>
    <w:rsid w:val="00E64C67"/>
    <w:pPr>
      <w:tabs>
        <w:tab w:val="center" w:pos="4513"/>
        <w:tab w:val="right" w:pos="9026"/>
      </w:tabs>
    </w:pPr>
  </w:style>
  <w:style w:type="character" w:customStyle="1" w:styleId="HeaderChar">
    <w:name w:val="Header Char"/>
    <w:basedOn w:val="DefaultParagraphFont"/>
    <w:link w:val="Header"/>
    <w:uiPriority w:val="99"/>
    <w:rsid w:val="00B246FF"/>
  </w:style>
  <w:style w:type="paragraph" w:styleId="Footer">
    <w:name w:val="footer"/>
    <w:basedOn w:val="Normal"/>
    <w:link w:val="FooterChar"/>
    <w:uiPriority w:val="99"/>
    <w:unhideWhenUsed/>
    <w:rsid w:val="00E64C67"/>
    <w:pPr>
      <w:tabs>
        <w:tab w:val="center" w:pos="4513"/>
        <w:tab w:val="right" w:pos="9026"/>
      </w:tabs>
    </w:pPr>
  </w:style>
  <w:style w:type="character" w:customStyle="1" w:styleId="FooterChar">
    <w:name w:val="Footer Char"/>
    <w:basedOn w:val="DefaultParagraphFont"/>
    <w:link w:val="Footer"/>
    <w:uiPriority w:val="99"/>
    <w:rsid w:val="00B246FF"/>
  </w:style>
  <w:style w:type="table" w:styleId="TableGrid">
    <w:name w:val="Table Grid"/>
    <w:basedOn w:val="TableNormal"/>
    <w:uiPriority w:val="59"/>
    <w:rsid w:val="00E64C6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4C67"/>
    <w:rPr>
      <w:sz w:val="16"/>
      <w:szCs w:val="16"/>
    </w:rPr>
  </w:style>
  <w:style w:type="paragraph" w:styleId="CommentText">
    <w:name w:val="annotation text"/>
    <w:basedOn w:val="Normal"/>
    <w:link w:val="CommentTextChar"/>
    <w:uiPriority w:val="99"/>
    <w:unhideWhenUsed/>
    <w:rsid w:val="00E64C67"/>
    <w:rPr>
      <w:sz w:val="20"/>
      <w:szCs w:val="20"/>
    </w:rPr>
  </w:style>
  <w:style w:type="character" w:customStyle="1" w:styleId="CommentTextChar">
    <w:name w:val="Comment Text Char"/>
    <w:basedOn w:val="DefaultParagraphFont"/>
    <w:link w:val="CommentText"/>
    <w:uiPriority w:val="99"/>
    <w:rsid w:val="00E64C67"/>
    <w:rPr>
      <w:sz w:val="20"/>
      <w:szCs w:val="20"/>
    </w:rPr>
  </w:style>
  <w:style w:type="paragraph" w:styleId="BalloonText">
    <w:name w:val="Balloon Text"/>
    <w:basedOn w:val="Normal"/>
    <w:link w:val="BalloonTextChar"/>
    <w:uiPriority w:val="99"/>
    <w:semiHidden/>
    <w:unhideWhenUsed/>
    <w:rsid w:val="00E64C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C67"/>
    <w:rPr>
      <w:rFonts w:ascii="Segoe UI" w:hAnsi="Segoe UI" w:cs="Segoe UI"/>
      <w:sz w:val="18"/>
      <w:szCs w:val="18"/>
    </w:rPr>
  </w:style>
  <w:style w:type="paragraph" w:styleId="ListParagraph">
    <w:name w:val="List Paragraph"/>
    <w:basedOn w:val="Normal"/>
    <w:link w:val="ListParagraphChar"/>
    <w:uiPriority w:val="34"/>
    <w:qFormat/>
    <w:rsid w:val="00E64C67"/>
    <w:pPr>
      <w:ind w:left="720"/>
      <w:contextualSpacing/>
    </w:pPr>
  </w:style>
  <w:style w:type="paragraph" w:customStyle="1" w:styleId="CML1">
    <w:name w:val="CML 1"/>
    <w:basedOn w:val="ListParagraph"/>
    <w:link w:val="CML1Char"/>
    <w:qFormat/>
    <w:rsid w:val="00E64C67"/>
    <w:pPr>
      <w:numPr>
        <w:numId w:val="22"/>
      </w:numPr>
      <w:spacing w:line="276" w:lineRule="auto"/>
    </w:pPr>
    <w:rPr>
      <w:b/>
      <w:sz w:val="22"/>
      <w:szCs w:val="22"/>
    </w:rPr>
  </w:style>
  <w:style w:type="paragraph" w:customStyle="1" w:styleId="CML2">
    <w:name w:val="CML 2"/>
    <w:basedOn w:val="ListParagraph"/>
    <w:link w:val="CML2Char"/>
    <w:qFormat/>
    <w:rsid w:val="00E64C67"/>
    <w:pPr>
      <w:numPr>
        <w:ilvl w:val="1"/>
        <w:numId w:val="22"/>
      </w:numPr>
      <w:spacing w:before="60" w:line="276" w:lineRule="auto"/>
      <w:contextualSpacing w:val="0"/>
      <w:jc w:val="both"/>
    </w:pPr>
    <w:rPr>
      <w:sz w:val="22"/>
      <w:szCs w:val="22"/>
    </w:rPr>
  </w:style>
  <w:style w:type="character" w:customStyle="1" w:styleId="ListParagraphChar">
    <w:name w:val="List Paragraph Char"/>
    <w:basedOn w:val="DefaultParagraphFont"/>
    <w:link w:val="ListParagraph"/>
    <w:uiPriority w:val="34"/>
    <w:rsid w:val="00E64C67"/>
  </w:style>
  <w:style w:type="character" w:customStyle="1" w:styleId="CML1Char">
    <w:name w:val="CML 1 Char"/>
    <w:basedOn w:val="ListParagraphChar"/>
    <w:link w:val="CML1"/>
    <w:rsid w:val="00E64C67"/>
    <w:rPr>
      <w:b/>
      <w:sz w:val="22"/>
      <w:szCs w:val="22"/>
    </w:rPr>
  </w:style>
  <w:style w:type="paragraph" w:customStyle="1" w:styleId="CML3">
    <w:name w:val="CML 3"/>
    <w:basedOn w:val="ListParagraph"/>
    <w:link w:val="CML3Char"/>
    <w:qFormat/>
    <w:rsid w:val="00E64C67"/>
    <w:pPr>
      <w:numPr>
        <w:numId w:val="23"/>
      </w:numPr>
      <w:spacing w:line="276" w:lineRule="auto"/>
      <w:jc w:val="both"/>
    </w:pPr>
    <w:rPr>
      <w:sz w:val="22"/>
      <w:szCs w:val="22"/>
    </w:rPr>
  </w:style>
  <w:style w:type="character" w:customStyle="1" w:styleId="CML2Char">
    <w:name w:val="CML 2 Char"/>
    <w:basedOn w:val="ListParagraphChar"/>
    <w:link w:val="CML2"/>
    <w:rsid w:val="00E64C67"/>
    <w:rPr>
      <w:sz w:val="22"/>
      <w:szCs w:val="22"/>
    </w:rPr>
  </w:style>
  <w:style w:type="paragraph" w:customStyle="1" w:styleId="CML4">
    <w:name w:val="CML 4"/>
    <w:basedOn w:val="CML3"/>
    <w:link w:val="CML4Char"/>
    <w:qFormat/>
    <w:rsid w:val="00E64C67"/>
    <w:pPr>
      <w:numPr>
        <w:ilvl w:val="1"/>
      </w:numPr>
      <w:tabs>
        <w:tab w:val="num" w:pos="360"/>
      </w:tabs>
      <w:ind w:left="720"/>
    </w:pPr>
  </w:style>
  <w:style w:type="character" w:customStyle="1" w:styleId="CML3Char">
    <w:name w:val="CML 3 Char"/>
    <w:basedOn w:val="ListParagraphChar"/>
    <w:link w:val="CML3"/>
    <w:rsid w:val="00E64C67"/>
    <w:rPr>
      <w:sz w:val="22"/>
      <w:szCs w:val="22"/>
    </w:rPr>
  </w:style>
  <w:style w:type="character" w:styleId="Hyperlink">
    <w:name w:val="Hyperlink"/>
    <w:basedOn w:val="DefaultParagraphFont"/>
    <w:uiPriority w:val="99"/>
    <w:unhideWhenUsed/>
    <w:rsid w:val="00E64C67"/>
    <w:rPr>
      <w:color w:val="0563C1" w:themeColor="hyperlink"/>
      <w:u w:val="single"/>
    </w:rPr>
  </w:style>
  <w:style w:type="character" w:customStyle="1" w:styleId="CML4Char">
    <w:name w:val="CML 4 Char"/>
    <w:basedOn w:val="CML3Char"/>
    <w:link w:val="CML4"/>
    <w:rsid w:val="00E64C67"/>
    <w:rPr>
      <w:sz w:val="22"/>
      <w:szCs w:val="22"/>
    </w:rPr>
  </w:style>
  <w:style w:type="paragraph" w:styleId="FootnoteText">
    <w:name w:val="footnote text"/>
    <w:basedOn w:val="Normal"/>
    <w:link w:val="FootnoteTextChar"/>
    <w:uiPriority w:val="99"/>
    <w:semiHidden/>
    <w:unhideWhenUsed/>
    <w:rsid w:val="00E64C67"/>
    <w:rPr>
      <w:sz w:val="20"/>
      <w:szCs w:val="20"/>
    </w:rPr>
  </w:style>
  <w:style w:type="character" w:customStyle="1" w:styleId="FootnoteTextChar">
    <w:name w:val="Footnote Text Char"/>
    <w:basedOn w:val="DefaultParagraphFont"/>
    <w:link w:val="FootnoteText"/>
    <w:uiPriority w:val="99"/>
    <w:semiHidden/>
    <w:rsid w:val="00E64C67"/>
    <w:rPr>
      <w:sz w:val="20"/>
      <w:szCs w:val="20"/>
    </w:rPr>
  </w:style>
  <w:style w:type="character" w:styleId="FootnoteReference">
    <w:name w:val="footnote reference"/>
    <w:basedOn w:val="DefaultParagraphFont"/>
    <w:uiPriority w:val="99"/>
    <w:semiHidden/>
    <w:unhideWhenUsed/>
    <w:rsid w:val="00E64C67"/>
    <w:rPr>
      <w:vertAlign w:val="superscript"/>
    </w:rPr>
  </w:style>
  <w:style w:type="paragraph" w:styleId="CommentSubject">
    <w:name w:val="annotation subject"/>
    <w:basedOn w:val="CommentText"/>
    <w:next w:val="CommentText"/>
    <w:link w:val="CommentSubjectChar"/>
    <w:uiPriority w:val="99"/>
    <w:semiHidden/>
    <w:unhideWhenUsed/>
    <w:rsid w:val="00E64C67"/>
    <w:rPr>
      <w:b/>
      <w:bCs/>
    </w:rPr>
  </w:style>
  <w:style w:type="character" w:customStyle="1" w:styleId="CommentSubjectChar">
    <w:name w:val="Comment Subject Char"/>
    <w:basedOn w:val="CommentTextChar"/>
    <w:link w:val="CommentSubject"/>
    <w:uiPriority w:val="99"/>
    <w:semiHidden/>
    <w:rsid w:val="00E64C67"/>
    <w:rPr>
      <w:b/>
      <w:bCs/>
      <w:sz w:val="20"/>
      <w:szCs w:val="20"/>
    </w:rPr>
  </w:style>
  <w:style w:type="paragraph" w:customStyle="1" w:styleId="22-Modeltekst">
    <w:name w:val="22 - Model_tekst"/>
    <w:basedOn w:val="Normal"/>
    <w:rsid w:val="00E64C67"/>
    <w:pPr>
      <w:suppressAutoHyphens/>
      <w:autoSpaceDE w:val="0"/>
      <w:spacing w:after="170" w:line="280" w:lineRule="atLeast"/>
      <w:jc w:val="both"/>
      <w:textAlignment w:val="baseline"/>
    </w:pPr>
    <w:rPr>
      <w:rFonts w:ascii="NewCenturySchlbk" w:eastAsia="Arial" w:hAnsi="NewCenturySchlbk" w:cs="Times New Roman"/>
      <w:color w:val="000000"/>
      <w:spacing w:val="-10"/>
      <w:sz w:val="22"/>
      <w:szCs w:val="22"/>
      <w:lang w:val="nl-NL" w:eastAsia="ar-SA"/>
    </w:rPr>
  </w:style>
  <w:style w:type="paragraph" w:customStyle="1" w:styleId="Default">
    <w:name w:val="Default"/>
    <w:rsid w:val="00E64C67"/>
    <w:pPr>
      <w:autoSpaceDE w:val="0"/>
      <w:autoSpaceDN w:val="0"/>
      <w:adjustRightInd w:val="0"/>
    </w:pPr>
    <w:rPr>
      <w:rFonts w:ascii="Arial" w:hAnsi="Arial" w:cs="Arial"/>
      <w:color w:val="000000"/>
    </w:rPr>
  </w:style>
  <w:style w:type="paragraph" w:customStyle="1" w:styleId="Level2">
    <w:name w:val="Level 2"/>
    <w:basedOn w:val="Normal"/>
    <w:qFormat/>
    <w:rsid w:val="00E64C67"/>
    <w:pPr>
      <w:spacing w:after="200" w:line="276" w:lineRule="auto"/>
      <w:contextualSpacing/>
      <w:jc w:val="both"/>
    </w:pPr>
    <w:rPr>
      <w:rFonts w:ascii="Calibri" w:eastAsia="Calibri" w:hAnsi="Calibri" w:cs="Times New Roman"/>
      <w:sz w:val="22"/>
      <w:szCs w:val="22"/>
    </w:rPr>
  </w:style>
  <w:style w:type="paragraph" w:styleId="IntenseQuote">
    <w:name w:val="Intense Quote"/>
    <w:aliases w:val="ECT Title"/>
    <w:basedOn w:val="Normal"/>
    <w:next w:val="Normal"/>
    <w:link w:val="IntenseQuoteChar"/>
    <w:uiPriority w:val="30"/>
    <w:qFormat/>
    <w:rsid w:val="00E64C67"/>
    <w:pPr>
      <w:spacing w:after="200" w:line="276" w:lineRule="auto"/>
    </w:pPr>
    <w:rPr>
      <w:rFonts w:ascii="Calibri" w:eastAsia="Calibri" w:hAnsi="Calibri" w:cs="Times New Roman"/>
      <w:b/>
      <w:sz w:val="36"/>
    </w:rPr>
  </w:style>
  <w:style w:type="character" w:customStyle="1" w:styleId="IntenseQuoteChar">
    <w:name w:val="Intense Quote Char"/>
    <w:aliases w:val="ECT Title Char"/>
    <w:basedOn w:val="DefaultParagraphFont"/>
    <w:link w:val="IntenseQuote"/>
    <w:uiPriority w:val="30"/>
    <w:rsid w:val="00E64C67"/>
    <w:rPr>
      <w:rFonts w:ascii="Calibri" w:eastAsia="Calibri" w:hAnsi="Calibri" w:cs="Times New Roman"/>
      <w:b/>
      <w:sz w:val="36"/>
    </w:rPr>
  </w:style>
  <w:style w:type="paragraph" w:styleId="Revision">
    <w:name w:val="Revision"/>
    <w:hidden/>
    <w:uiPriority w:val="99"/>
    <w:semiHidden/>
    <w:rsid w:val="004E1B84"/>
  </w:style>
  <w:style w:type="character" w:styleId="Mention">
    <w:name w:val="Mention"/>
    <w:basedOn w:val="DefaultParagraphFont"/>
    <w:uiPriority w:val="99"/>
    <w:unhideWhenUsed/>
    <w:rsid w:val="006E60B8"/>
    <w:rPr>
      <w:color w:val="2B579A"/>
      <w:shd w:val="clear" w:color="auto" w:fill="E1DFDD"/>
    </w:rPr>
  </w:style>
  <w:style w:type="character" w:styleId="UnresolvedMention">
    <w:name w:val="Unresolved Mention"/>
    <w:basedOn w:val="DefaultParagraphFont"/>
    <w:uiPriority w:val="99"/>
    <w:semiHidden/>
    <w:unhideWhenUsed/>
    <w:rsid w:val="00565E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767613">
      <w:bodyDiv w:val="1"/>
      <w:marLeft w:val="0"/>
      <w:marRight w:val="0"/>
      <w:marTop w:val="0"/>
      <w:marBottom w:val="0"/>
      <w:divBdr>
        <w:top w:val="none" w:sz="0" w:space="0" w:color="auto"/>
        <w:left w:val="none" w:sz="0" w:space="0" w:color="auto"/>
        <w:bottom w:val="none" w:sz="0" w:space="0" w:color="auto"/>
        <w:right w:val="none" w:sz="0" w:space="0" w:color="auto"/>
      </w:divBdr>
    </w:div>
    <w:div w:id="1544634132">
      <w:bodyDiv w:val="1"/>
      <w:marLeft w:val="0"/>
      <w:marRight w:val="0"/>
      <w:marTop w:val="0"/>
      <w:marBottom w:val="0"/>
      <w:divBdr>
        <w:top w:val="none" w:sz="0" w:space="0" w:color="auto"/>
        <w:left w:val="none" w:sz="0" w:space="0" w:color="auto"/>
        <w:bottom w:val="none" w:sz="0" w:space="0" w:color="auto"/>
        <w:right w:val="none" w:sz="0" w:space="0" w:color="auto"/>
      </w:divBdr>
    </w:div>
    <w:div w:id="1863208528">
      <w:bodyDiv w:val="1"/>
      <w:marLeft w:val="0"/>
      <w:marRight w:val="0"/>
      <w:marTop w:val="0"/>
      <w:marBottom w:val="0"/>
      <w:divBdr>
        <w:top w:val="none" w:sz="0" w:space="0" w:color="auto"/>
        <w:left w:val="none" w:sz="0" w:space="0" w:color="auto"/>
        <w:bottom w:val="none" w:sz="0" w:space="0" w:color="auto"/>
        <w:right w:val="none" w:sz="0" w:space="0" w:color="auto"/>
      </w:divBdr>
      <w:divsChild>
        <w:div w:id="788665341">
          <w:marLeft w:val="0"/>
          <w:marRight w:val="0"/>
          <w:marTop w:val="0"/>
          <w:marBottom w:val="0"/>
          <w:divBdr>
            <w:top w:val="none" w:sz="0" w:space="0" w:color="auto"/>
            <w:left w:val="none" w:sz="0" w:space="0" w:color="auto"/>
            <w:bottom w:val="none" w:sz="0" w:space="0" w:color="auto"/>
            <w:right w:val="none" w:sz="0" w:space="0" w:color="auto"/>
          </w:divBdr>
          <w:divsChild>
            <w:div w:id="1243099054">
              <w:marLeft w:val="0"/>
              <w:marRight w:val="0"/>
              <w:marTop w:val="0"/>
              <w:marBottom w:val="0"/>
              <w:divBdr>
                <w:top w:val="none" w:sz="0" w:space="0" w:color="auto"/>
                <w:left w:val="none" w:sz="0" w:space="0" w:color="auto"/>
                <w:bottom w:val="none" w:sz="0" w:space="0" w:color="auto"/>
                <w:right w:val="none" w:sz="0" w:space="0" w:color="auto"/>
              </w:divBdr>
            </w:div>
          </w:divsChild>
        </w:div>
        <w:div w:id="943881510">
          <w:marLeft w:val="0"/>
          <w:marRight w:val="0"/>
          <w:marTop w:val="0"/>
          <w:marBottom w:val="0"/>
          <w:divBdr>
            <w:top w:val="none" w:sz="0" w:space="0" w:color="auto"/>
            <w:left w:val="none" w:sz="0" w:space="0" w:color="auto"/>
            <w:bottom w:val="none" w:sz="0" w:space="0" w:color="auto"/>
            <w:right w:val="none" w:sz="0" w:space="0" w:color="auto"/>
          </w:divBdr>
          <w:divsChild>
            <w:div w:id="1444231453">
              <w:marLeft w:val="0"/>
              <w:marRight w:val="0"/>
              <w:marTop w:val="0"/>
              <w:marBottom w:val="0"/>
              <w:divBdr>
                <w:top w:val="none" w:sz="0" w:space="0" w:color="auto"/>
                <w:left w:val="none" w:sz="0" w:space="0" w:color="auto"/>
                <w:bottom w:val="none" w:sz="0" w:space="0" w:color="auto"/>
                <w:right w:val="none" w:sz="0" w:space="0" w:color="auto"/>
              </w:divBdr>
            </w:div>
          </w:divsChild>
        </w:div>
        <w:div w:id="1919053788">
          <w:marLeft w:val="0"/>
          <w:marRight w:val="0"/>
          <w:marTop w:val="0"/>
          <w:marBottom w:val="0"/>
          <w:divBdr>
            <w:top w:val="none" w:sz="0" w:space="0" w:color="auto"/>
            <w:left w:val="none" w:sz="0" w:space="0" w:color="auto"/>
            <w:bottom w:val="none" w:sz="0" w:space="0" w:color="auto"/>
            <w:right w:val="none" w:sz="0" w:space="0" w:color="auto"/>
          </w:divBdr>
          <w:divsChild>
            <w:div w:id="954747398">
              <w:marLeft w:val="0"/>
              <w:marRight w:val="0"/>
              <w:marTop w:val="0"/>
              <w:marBottom w:val="0"/>
              <w:divBdr>
                <w:top w:val="none" w:sz="0" w:space="0" w:color="auto"/>
                <w:left w:val="none" w:sz="0" w:space="0" w:color="auto"/>
                <w:bottom w:val="none" w:sz="0" w:space="0" w:color="auto"/>
                <w:right w:val="none" w:sz="0" w:space="0" w:color="auto"/>
              </w:divBdr>
            </w:div>
          </w:divsChild>
        </w:div>
        <w:div w:id="1509444793">
          <w:marLeft w:val="0"/>
          <w:marRight w:val="0"/>
          <w:marTop w:val="0"/>
          <w:marBottom w:val="0"/>
          <w:divBdr>
            <w:top w:val="none" w:sz="0" w:space="0" w:color="auto"/>
            <w:left w:val="none" w:sz="0" w:space="0" w:color="auto"/>
            <w:bottom w:val="none" w:sz="0" w:space="0" w:color="auto"/>
            <w:right w:val="none" w:sz="0" w:space="0" w:color="auto"/>
          </w:divBdr>
          <w:divsChild>
            <w:div w:id="1671057052">
              <w:marLeft w:val="0"/>
              <w:marRight w:val="0"/>
              <w:marTop w:val="0"/>
              <w:marBottom w:val="0"/>
              <w:divBdr>
                <w:top w:val="none" w:sz="0" w:space="0" w:color="auto"/>
                <w:left w:val="none" w:sz="0" w:space="0" w:color="auto"/>
                <w:bottom w:val="none" w:sz="0" w:space="0" w:color="auto"/>
                <w:right w:val="none" w:sz="0" w:space="0" w:color="auto"/>
              </w:divBdr>
            </w:div>
          </w:divsChild>
        </w:div>
        <w:div w:id="291911298">
          <w:marLeft w:val="0"/>
          <w:marRight w:val="0"/>
          <w:marTop w:val="0"/>
          <w:marBottom w:val="0"/>
          <w:divBdr>
            <w:top w:val="none" w:sz="0" w:space="0" w:color="auto"/>
            <w:left w:val="none" w:sz="0" w:space="0" w:color="auto"/>
            <w:bottom w:val="none" w:sz="0" w:space="0" w:color="auto"/>
            <w:right w:val="none" w:sz="0" w:space="0" w:color="auto"/>
          </w:divBdr>
          <w:divsChild>
            <w:div w:id="1649239918">
              <w:marLeft w:val="0"/>
              <w:marRight w:val="0"/>
              <w:marTop w:val="0"/>
              <w:marBottom w:val="0"/>
              <w:divBdr>
                <w:top w:val="none" w:sz="0" w:space="0" w:color="auto"/>
                <w:left w:val="none" w:sz="0" w:space="0" w:color="auto"/>
                <w:bottom w:val="none" w:sz="0" w:space="0" w:color="auto"/>
                <w:right w:val="none" w:sz="0" w:space="0" w:color="auto"/>
              </w:divBdr>
            </w:div>
          </w:divsChild>
        </w:div>
        <w:div w:id="1895891439">
          <w:marLeft w:val="0"/>
          <w:marRight w:val="0"/>
          <w:marTop w:val="0"/>
          <w:marBottom w:val="0"/>
          <w:divBdr>
            <w:top w:val="none" w:sz="0" w:space="0" w:color="auto"/>
            <w:left w:val="none" w:sz="0" w:space="0" w:color="auto"/>
            <w:bottom w:val="none" w:sz="0" w:space="0" w:color="auto"/>
            <w:right w:val="none" w:sz="0" w:space="0" w:color="auto"/>
          </w:divBdr>
          <w:divsChild>
            <w:div w:id="625812649">
              <w:marLeft w:val="0"/>
              <w:marRight w:val="0"/>
              <w:marTop w:val="0"/>
              <w:marBottom w:val="0"/>
              <w:divBdr>
                <w:top w:val="none" w:sz="0" w:space="0" w:color="auto"/>
                <w:left w:val="none" w:sz="0" w:space="0" w:color="auto"/>
                <w:bottom w:val="none" w:sz="0" w:space="0" w:color="auto"/>
                <w:right w:val="none" w:sz="0" w:space="0" w:color="auto"/>
              </w:divBdr>
            </w:div>
          </w:divsChild>
        </w:div>
        <w:div w:id="2088766632">
          <w:marLeft w:val="0"/>
          <w:marRight w:val="0"/>
          <w:marTop w:val="0"/>
          <w:marBottom w:val="0"/>
          <w:divBdr>
            <w:top w:val="none" w:sz="0" w:space="0" w:color="auto"/>
            <w:left w:val="none" w:sz="0" w:space="0" w:color="auto"/>
            <w:bottom w:val="none" w:sz="0" w:space="0" w:color="auto"/>
            <w:right w:val="none" w:sz="0" w:space="0" w:color="auto"/>
          </w:divBdr>
          <w:divsChild>
            <w:div w:id="1054696011">
              <w:marLeft w:val="0"/>
              <w:marRight w:val="0"/>
              <w:marTop w:val="0"/>
              <w:marBottom w:val="0"/>
              <w:divBdr>
                <w:top w:val="none" w:sz="0" w:space="0" w:color="auto"/>
                <w:left w:val="none" w:sz="0" w:space="0" w:color="auto"/>
                <w:bottom w:val="none" w:sz="0" w:space="0" w:color="auto"/>
                <w:right w:val="none" w:sz="0" w:space="0" w:color="auto"/>
              </w:divBdr>
            </w:div>
          </w:divsChild>
        </w:div>
        <w:div w:id="36513441">
          <w:marLeft w:val="0"/>
          <w:marRight w:val="0"/>
          <w:marTop w:val="0"/>
          <w:marBottom w:val="0"/>
          <w:divBdr>
            <w:top w:val="none" w:sz="0" w:space="0" w:color="auto"/>
            <w:left w:val="none" w:sz="0" w:space="0" w:color="auto"/>
            <w:bottom w:val="none" w:sz="0" w:space="0" w:color="auto"/>
            <w:right w:val="none" w:sz="0" w:space="0" w:color="auto"/>
          </w:divBdr>
          <w:divsChild>
            <w:div w:id="418019129">
              <w:marLeft w:val="0"/>
              <w:marRight w:val="0"/>
              <w:marTop w:val="0"/>
              <w:marBottom w:val="0"/>
              <w:divBdr>
                <w:top w:val="none" w:sz="0" w:space="0" w:color="auto"/>
                <w:left w:val="none" w:sz="0" w:space="0" w:color="auto"/>
                <w:bottom w:val="none" w:sz="0" w:space="0" w:color="auto"/>
                <w:right w:val="none" w:sz="0" w:space="0" w:color="auto"/>
              </w:divBdr>
            </w:div>
          </w:divsChild>
        </w:div>
        <w:div w:id="668557540">
          <w:marLeft w:val="0"/>
          <w:marRight w:val="0"/>
          <w:marTop w:val="0"/>
          <w:marBottom w:val="0"/>
          <w:divBdr>
            <w:top w:val="none" w:sz="0" w:space="0" w:color="auto"/>
            <w:left w:val="none" w:sz="0" w:space="0" w:color="auto"/>
            <w:bottom w:val="none" w:sz="0" w:space="0" w:color="auto"/>
            <w:right w:val="none" w:sz="0" w:space="0" w:color="auto"/>
          </w:divBdr>
          <w:divsChild>
            <w:div w:id="229511557">
              <w:marLeft w:val="0"/>
              <w:marRight w:val="0"/>
              <w:marTop w:val="0"/>
              <w:marBottom w:val="0"/>
              <w:divBdr>
                <w:top w:val="none" w:sz="0" w:space="0" w:color="auto"/>
                <w:left w:val="none" w:sz="0" w:space="0" w:color="auto"/>
                <w:bottom w:val="none" w:sz="0" w:space="0" w:color="auto"/>
                <w:right w:val="none" w:sz="0" w:space="0" w:color="auto"/>
              </w:divBdr>
            </w:div>
          </w:divsChild>
        </w:div>
        <w:div w:id="1003893843">
          <w:marLeft w:val="0"/>
          <w:marRight w:val="0"/>
          <w:marTop w:val="0"/>
          <w:marBottom w:val="0"/>
          <w:divBdr>
            <w:top w:val="none" w:sz="0" w:space="0" w:color="auto"/>
            <w:left w:val="none" w:sz="0" w:space="0" w:color="auto"/>
            <w:bottom w:val="none" w:sz="0" w:space="0" w:color="auto"/>
            <w:right w:val="none" w:sz="0" w:space="0" w:color="auto"/>
          </w:divBdr>
          <w:divsChild>
            <w:div w:id="891187159">
              <w:marLeft w:val="0"/>
              <w:marRight w:val="0"/>
              <w:marTop w:val="0"/>
              <w:marBottom w:val="0"/>
              <w:divBdr>
                <w:top w:val="none" w:sz="0" w:space="0" w:color="auto"/>
                <w:left w:val="none" w:sz="0" w:space="0" w:color="auto"/>
                <w:bottom w:val="none" w:sz="0" w:space="0" w:color="auto"/>
                <w:right w:val="none" w:sz="0" w:space="0" w:color="auto"/>
              </w:divBdr>
            </w:div>
          </w:divsChild>
        </w:div>
        <w:div w:id="150560068">
          <w:marLeft w:val="0"/>
          <w:marRight w:val="0"/>
          <w:marTop w:val="0"/>
          <w:marBottom w:val="0"/>
          <w:divBdr>
            <w:top w:val="none" w:sz="0" w:space="0" w:color="auto"/>
            <w:left w:val="none" w:sz="0" w:space="0" w:color="auto"/>
            <w:bottom w:val="none" w:sz="0" w:space="0" w:color="auto"/>
            <w:right w:val="none" w:sz="0" w:space="0" w:color="auto"/>
          </w:divBdr>
          <w:divsChild>
            <w:div w:id="1856267121">
              <w:marLeft w:val="0"/>
              <w:marRight w:val="0"/>
              <w:marTop w:val="0"/>
              <w:marBottom w:val="0"/>
              <w:divBdr>
                <w:top w:val="none" w:sz="0" w:space="0" w:color="auto"/>
                <w:left w:val="none" w:sz="0" w:space="0" w:color="auto"/>
                <w:bottom w:val="none" w:sz="0" w:space="0" w:color="auto"/>
                <w:right w:val="none" w:sz="0" w:space="0" w:color="auto"/>
              </w:divBdr>
            </w:div>
          </w:divsChild>
        </w:div>
        <w:div w:id="1386491728">
          <w:marLeft w:val="0"/>
          <w:marRight w:val="0"/>
          <w:marTop w:val="0"/>
          <w:marBottom w:val="0"/>
          <w:divBdr>
            <w:top w:val="none" w:sz="0" w:space="0" w:color="auto"/>
            <w:left w:val="none" w:sz="0" w:space="0" w:color="auto"/>
            <w:bottom w:val="none" w:sz="0" w:space="0" w:color="auto"/>
            <w:right w:val="none" w:sz="0" w:space="0" w:color="auto"/>
          </w:divBdr>
          <w:divsChild>
            <w:div w:id="215165727">
              <w:marLeft w:val="0"/>
              <w:marRight w:val="0"/>
              <w:marTop w:val="0"/>
              <w:marBottom w:val="0"/>
              <w:divBdr>
                <w:top w:val="none" w:sz="0" w:space="0" w:color="auto"/>
                <w:left w:val="none" w:sz="0" w:space="0" w:color="auto"/>
                <w:bottom w:val="none" w:sz="0" w:space="0" w:color="auto"/>
                <w:right w:val="none" w:sz="0" w:space="0" w:color="auto"/>
              </w:divBdr>
            </w:div>
          </w:divsChild>
        </w:div>
        <w:div w:id="1191188570">
          <w:marLeft w:val="0"/>
          <w:marRight w:val="0"/>
          <w:marTop w:val="0"/>
          <w:marBottom w:val="0"/>
          <w:divBdr>
            <w:top w:val="none" w:sz="0" w:space="0" w:color="auto"/>
            <w:left w:val="none" w:sz="0" w:space="0" w:color="auto"/>
            <w:bottom w:val="none" w:sz="0" w:space="0" w:color="auto"/>
            <w:right w:val="none" w:sz="0" w:space="0" w:color="auto"/>
          </w:divBdr>
          <w:divsChild>
            <w:div w:id="904410418">
              <w:marLeft w:val="0"/>
              <w:marRight w:val="0"/>
              <w:marTop w:val="0"/>
              <w:marBottom w:val="0"/>
              <w:divBdr>
                <w:top w:val="none" w:sz="0" w:space="0" w:color="auto"/>
                <w:left w:val="none" w:sz="0" w:space="0" w:color="auto"/>
                <w:bottom w:val="none" w:sz="0" w:space="0" w:color="auto"/>
                <w:right w:val="none" w:sz="0" w:space="0" w:color="auto"/>
              </w:divBdr>
            </w:div>
          </w:divsChild>
        </w:div>
        <w:div w:id="153108845">
          <w:marLeft w:val="0"/>
          <w:marRight w:val="0"/>
          <w:marTop w:val="0"/>
          <w:marBottom w:val="0"/>
          <w:divBdr>
            <w:top w:val="none" w:sz="0" w:space="0" w:color="auto"/>
            <w:left w:val="none" w:sz="0" w:space="0" w:color="auto"/>
            <w:bottom w:val="none" w:sz="0" w:space="0" w:color="auto"/>
            <w:right w:val="none" w:sz="0" w:space="0" w:color="auto"/>
          </w:divBdr>
          <w:divsChild>
            <w:div w:id="1351221725">
              <w:marLeft w:val="0"/>
              <w:marRight w:val="0"/>
              <w:marTop w:val="0"/>
              <w:marBottom w:val="0"/>
              <w:divBdr>
                <w:top w:val="none" w:sz="0" w:space="0" w:color="auto"/>
                <w:left w:val="none" w:sz="0" w:space="0" w:color="auto"/>
                <w:bottom w:val="none" w:sz="0" w:space="0" w:color="auto"/>
                <w:right w:val="none" w:sz="0" w:space="0" w:color="auto"/>
              </w:divBdr>
            </w:div>
          </w:divsChild>
        </w:div>
        <w:div w:id="595092224">
          <w:marLeft w:val="0"/>
          <w:marRight w:val="0"/>
          <w:marTop w:val="0"/>
          <w:marBottom w:val="0"/>
          <w:divBdr>
            <w:top w:val="none" w:sz="0" w:space="0" w:color="auto"/>
            <w:left w:val="none" w:sz="0" w:space="0" w:color="auto"/>
            <w:bottom w:val="none" w:sz="0" w:space="0" w:color="auto"/>
            <w:right w:val="none" w:sz="0" w:space="0" w:color="auto"/>
          </w:divBdr>
          <w:divsChild>
            <w:div w:id="197091976">
              <w:marLeft w:val="0"/>
              <w:marRight w:val="0"/>
              <w:marTop w:val="0"/>
              <w:marBottom w:val="0"/>
              <w:divBdr>
                <w:top w:val="none" w:sz="0" w:space="0" w:color="auto"/>
                <w:left w:val="none" w:sz="0" w:space="0" w:color="auto"/>
                <w:bottom w:val="none" w:sz="0" w:space="0" w:color="auto"/>
                <w:right w:val="none" w:sz="0" w:space="0" w:color="auto"/>
              </w:divBdr>
            </w:div>
          </w:divsChild>
        </w:div>
        <w:div w:id="1133870203">
          <w:marLeft w:val="0"/>
          <w:marRight w:val="0"/>
          <w:marTop w:val="0"/>
          <w:marBottom w:val="0"/>
          <w:divBdr>
            <w:top w:val="none" w:sz="0" w:space="0" w:color="auto"/>
            <w:left w:val="none" w:sz="0" w:space="0" w:color="auto"/>
            <w:bottom w:val="none" w:sz="0" w:space="0" w:color="auto"/>
            <w:right w:val="none" w:sz="0" w:space="0" w:color="auto"/>
          </w:divBdr>
          <w:divsChild>
            <w:div w:id="29425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118318">
      <w:bodyDiv w:val="1"/>
      <w:marLeft w:val="0"/>
      <w:marRight w:val="0"/>
      <w:marTop w:val="0"/>
      <w:marBottom w:val="0"/>
      <w:divBdr>
        <w:top w:val="none" w:sz="0" w:space="0" w:color="auto"/>
        <w:left w:val="none" w:sz="0" w:space="0" w:color="auto"/>
        <w:bottom w:val="none" w:sz="0" w:space="0" w:color="auto"/>
        <w:right w:val="none" w:sz="0" w:space="0" w:color="auto"/>
      </w:divBdr>
      <w:divsChild>
        <w:div w:id="1065496090">
          <w:marLeft w:val="0"/>
          <w:marRight w:val="0"/>
          <w:marTop w:val="0"/>
          <w:marBottom w:val="0"/>
          <w:divBdr>
            <w:top w:val="none" w:sz="0" w:space="0" w:color="auto"/>
            <w:left w:val="none" w:sz="0" w:space="0" w:color="auto"/>
            <w:bottom w:val="none" w:sz="0" w:space="0" w:color="auto"/>
            <w:right w:val="none" w:sz="0" w:space="0" w:color="auto"/>
          </w:divBdr>
          <w:divsChild>
            <w:div w:id="666518949">
              <w:marLeft w:val="0"/>
              <w:marRight w:val="0"/>
              <w:marTop w:val="0"/>
              <w:marBottom w:val="0"/>
              <w:divBdr>
                <w:top w:val="none" w:sz="0" w:space="0" w:color="auto"/>
                <w:left w:val="none" w:sz="0" w:space="0" w:color="auto"/>
                <w:bottom w:val="none" w:sz="0" w:space="0" w:color="auto"/>
                <w:right w:val="none" w:sz="0" w:space="0" w:color="auto"/>
              </w:divBdr>
            </w:div>
            <w:div w:id="1858737421">
              <w:marLeft w:val="0"/>
              <w:marRight w:val="0"/>
              <w:marTop w:val="0"/>
              <w:marBottom w:val="0"/>
              <w:divBdr>
                <w:top w:val="none" w:sz="0" w:space="0" w:color="auto"/>
                <w:left w:val="none" w:sz="0" w:space="0" w:color="auto"/>
                <w:bottom w:val="none" w:sz="0" w:space="0" w:color="auto"/>
                <w:right w:val="none" w:sz="0" w:space="0" w:color="auto"/>
              </w:divBdr>
            </w:div>
            <w:div w:id="851796417">
              <w:marLeft w:val="0"/>
              <w:marRight w:val="0"/>
              <w:marTop w:val="0"/>
              <w:marBottom w:val="0"/>
              <w:divBdr>
                <w:top w:val="none" w:sz="0" w:space="0" w:color="auto"/>
                <w:left w:val="none" w:sz="0" w:space="0" w:color="auto"/>
                <w:bottom w:val="none" w:sz="0" w:space="0" w:color="auto"/>
                <w:right w:val="none" w:sz="0" w:space="0" w:color="auto"/>
              </w:divBdr>
            </w:div>
          </w:divsChild>
        </w:div>
        <w:div w:id="174274722">
          <w:marLeft w:val="0"/>
          <w:marRight w:val="0"/>
          <w:marTop w:val="0"/>
          <w:marBottom w:val="0"/>
          <w:divBdr>
            <w:top w:val="none" w:sz="0" w:space="0" w:color="auto"/>
            <w:left w:val="none" w:sz="0" w:space="0" w:color="auto"/>
            <w:bottom w:val="none" w:sz="0" w:space="0" w:color="auto"/>
            <w:right w:val="none" w:sz="0" w:space="0" w:color="auto"/>
          </w:divBdr>
          <w:divsChild>
            <w:div w:id="510604312">
              <w:marLeft w:val="0"/>
              <w:marRight w:val="0"/>
              <w:marTop w:val="0"/>
              <w:marBottom w:val="0"/>
              <w:divBdr>
                <w:top w:val="none" w:sz="0" w:space="0" w:color="auto"/>
                <w:left w:val="none" w:sz="0" w:space="0" w:color="auto"/>
                <w:bottom w:val="none" w:sz="0" w:space="0" w:color="auto"/>
                <w:right w:val="none" w:sz="0" w:space="0" w:color="auto"/>
              </w:divBdr>
            </w:div>
            <w:div w:id="71778421">
              <w:marLeft w:val="0"/>
              <w:marRight w:val="0"/>
              <w:marTop w:val="0"/>
              <w:marBottom w:val="0"/>
              <w:divBdr>
                <w:top w:val="none" w:sz="0" w:space="0" w:color="auto"/>
                <w:left w:val="none" w:sz="0" w:space="0" w:color="auto"/>
                <w:bottom w:val="none" w:sz="0" w:space="0" w:color="auto"/>
                <w:right w:val="none" w:sz="0" w:space="0" w:color="auto"/>
              </w:divBdr>
            </w:div>
            <w:div w:id="1648975165">
              <w:marLeft w:val="0"/>
              <w:marRight w:val="0"/>
              <w:marTop w:val="0"/>
              <w:marBottom w:val="0"/>
              <w:divBdr>
                <w:top w:val="none" w:sz="0" w:space="0" w:color="auto"/>
                <w:left w:val="none" w:sz="0" w:space="0" w:color="auto"/>
                <w:bottom w:val="none" w:sz="0" w:space="0" w:color="auto"/>
                <w:right w:val="none" w:sz="0" w:space="0" w:color="auto"/>
              </w:divBdr>
            </w:div>
          </w:divsChild>
        </w:div>
        <w:div w:id="1228997286">
          <w:marLeft w:val="0"/>
          <w:marRight w:val="0"/>
          <w:marTop w:val="0"/>
          <w:marBottom w:val="0"/>
          <w:divBdr>
            <w:top w:val="none" w:sz="0" w:space="0" w:color="auto"/>
            <w:left w:val="none" w:sz="0" w:space="0" w:color="auto"/>
            <w:bottom w:val="none" w:sz="0" w:space="0" w:color="auto"/>
            <w:right w:val="none" w:sz="0" w:space="0" w:color="auto"/>
          </w:divBdr>
          <w:divsChild>
            <w:div w:id="1158692354">
              <w:marLeft w:val="0"/>
              <w:marRight w:val="0"/>
              <w:marTop w:val="0"/>
              <w:marBottom w:val="0"/>
              <w:divBdr>
                <w:top w:val="none" w:sz="0" w:space="0" w:color="auto"/>
                <w:left w:val="none" w:sz="0" w:space="0" w:color="auto"/>
                <w:bottom w:val="none" w:sz="0" w:space="0" w:color="auto"/>
                <w:right w:val="none" w:sz="0" w:space="0" w:color="auto"/>
              </w:divBdr>
            </w:div>
            <w:div w:id="1814789110">
              <w:marLeft w:val="0"/>
              <w:marRight w:val="0"/>
              <w:marTop w:val="0"/>
              <w:marBottom w:val="0"/>
              <w:divBdr>
                <w:top w:val="none" w:sz="0" w:space="0" w:color="auto"/>
                <w:left w:val="none" w:sz="0" w:space="0" w:color="auto"/>
                <w:bottom w:val="none" w:sz="0" w:space="0" w:color="auto"/>
                <w:right w:val="none" w:sz="0" w:space="0" w:color="auto"/>
              </w:divBdr>
            </w:div>
            <w:div w:id="108950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orset@ectcharity.co.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heshire@ectcharity.co.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aling@ectcharity.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6942D96405C4A92311515DF823C13" ma:contentTypeVersion="19" ma:contentTypeDescription="Create a new document." ma:contentTypeScope="" ma:versionID="64885621d32a071fab9f71904fb95704">
  <xsd:schema xmlns:xsd="http://www.w3.org/2001/XMLSchema" xmlns:xs="http://www.w3.org/2001/XMLSchema" xmlns:p="http://schemas.microsoft.com/office/2006/metadata/properties" xmlns:ns2="de933b9d-b352-4bfa-bc41-b5cded7a538e" xmlns:ns3="8ec7a132-8074-4a19-b935-f661a3405c1c" targetNamespace="http://schemas.microsoft.com/office/2006/metadata/properties" ma:root="true" ma:fieldsID="15fe1f64c1ff1134b26ca1e296e8bf6a" ns2:_="" ns3:_="">
    <xsd:import namespace="de933b9d-b352-4bfa-bc41-b5cded7a538e"/>
    <xsd:import namespace="8ec7a132-8074-4a19-b935-f661a3405c1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33b9d-b352-4bfa-bc41-b5cded7a53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845944a-5c5d-4f4b-b90c-e7a177cb4ac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c7a132-8074-4a19-b935-f661a3405c1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31ded37-28f6-41ec-89eb-baee8ecfc28f}" ma:internalName="TaxCatchAll" ma:showField="CatchAllData" ma:web="8ec7a132-8074-4a19-b935-f661a3405c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8ec7a132-8074-4a19-b935-f661a3405c1c">
      <UserInfo>
        <DisplayName>John Chesters</DisplayName>
        <AccountId>12</AccountId>
        <AccountType/>
      </UserInfo>
      <UserInfo>
        <DisplayName>BUILTIN\Administrators</DisplayName>
        <AccountId>16</AccountId>
        <AccountType/>
      </UserInfo>
    </SharedWithUsers>
    <TaxCatchAll xmlns="8ec7a132-8074-4a19-b935-f661a3405c1c" xsi:nil="true"/>
    <lcf76f155ced4ddcb4097134ff3c332f xmlns="de933b9d-b352-4bfa-bc41-b5cded7a53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9714E56-72EA-46EF-B253-8DCE1C25F10F}">
  <ds:schemaRefs>
    <ds:schemaRef ds:uri="http://schemas.microsoft.com/sharepoint/v3/contenttype/forms"/>
  </ds:schemaRefs>
</ds:datastoreItem>
</file>

<file path=customXml/itemProps2.xml><?xml version="1.0" encoding="utf-8"?>
<ds:datastoreItem xmlns:ds="http://schemas.openxmlformats.org/officeDocument/2006/customXml" ds:itemID="{99DE6B3D-2A83-6A45-8F56-A2FF56EFBF8D}">
  <ds:schemaRefs>
    <ds:schemaRef ds:uri="http://schemas.openxmlformats.org/officeDocument/2006/bibliography"/>
  </ds:schemaRefs>
</ds:datastoreItem>
</file>

<file path=customXml/itemProps3.xml><?xml version="1.0" encoding="utf-8"?>
<ds:datastoreItem xmlns:ds="http://schemas.openxmlformats.org/officeDocument/2006/customXml" ds:itemID="{93EB81B1-D23A-455F-B1C9-B4E750FA8BA9}">
  <ds:schemaRefs>
    <ds:schemaRef ds:uri="http://schemas.microsoft.com/sharepoint/v3/contenttype/forms"/>
  </ds:schemaRefs>
</ds:datastoreItem>
</file>

<file path=customXml/itemProps4.xml><?xml version="1.0" encoding="utf-8"?>
<ds:datastoreItem xmlns:ds="http://schemas.openxmlformats.org/officeDocument/2006/customXml" ds:itemID="{2A91F905-CF43-45FE-9182-9E2CF4E4F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33b9d-b352-4bfa-bc41-b5cded7a538e"/>
    <ds:schemaRef ds:uri="8ec7a132-8074-4a19-b935-f661a3405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391E37E-2396-4907-A27F-A27AB5A4028C}">
  <ds:schemaRefs>
    <ds:schemaRef ds:uri="http://schemas.microsoft.com/office/2006/metadata/properties"/>
    <ds:schemaRef ds:uri="http://schemas.microsoft.com/office/infopath/2007/PartnerControls"/>
    <ds:schemaRef ds:uri="8ec7a132-8074-4a19-b935-f661a3405c1c"/>
    <ds:schemaRef ds:uri="de933b9d-b352-4bfa-bc41-b5cded7a538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Murray-Lyon</dc:creator>
  <cp:keywords/>
  <dc:description/>
  <cp:lastModifiedBy>Caroline Murray-Lyon</cp:lastModifiedBy>
  <cp:revision>3</cp:revision>
  <dcterms:created xsi:type="dcterms:W3CDTF">2024-11-06T17:00:00Z</dcterms:created>
  <dcterms:modified xsi:type="dcterms:W3CDTF">2024-11-06T17:47:00Z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0x010100F3E6942D96405C4A92311515DF823C13</vt:lpwstr>
  </property>
  <property fmtid="{D5CDD505-2E9C-101B-9397-08002B2CF9AE}" pid="3" name="Order">
    <vt:r8>78300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_SourceUrl">
    <vt:lpwstr/>
  </property>
  <property fmtid="{D5CDD505-2E9C-101B-9397-08002B2CF9AE}" pid="12" name="_SharedFileIndex">
    <vt:lpwstr/>
  </property>
</Properties>
</file>